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A755BF">
      <w:pPr>
        <w:pStyle w:val="34"/>
        <w:framePr w:wrap="around"/>
      </w:pPr>
      <w:r>
        <w:rPr>
          <w:rFonts w:ascii="Times New Roman"/>
        </w:rPr>
        <w:t>ICS</w:t>
      </w:r>
      <w:r>
        <w:rPr>
          <w:rFonts w:hint="eastAsia" w:ascii="MS Mincho" w:hAnsi="MS Mincho" w:eastAsia="MS Mincho" w:cs="MS Mincho"/>
        </w:rPr>
        <w:t> </w:t>
      </w:r>
      <w:bookmarkStart w:id="0" w:name="ICS"/>
      <w:r>
        <w:fldChar w:fldCharType="begin">
          <w:ffData>
            <w:name w:val="ICS"/>
            <w:enabled/>
            <w:calcOnExit w:val="0"/>
            <w:helpText w:type="text" w:val="请输入正确的ICS号："/>
            <w:textInput>
              <w:default w:val="点击此处添加ICS号"/>
            </w:textInput>
          </w:ffData>
        </w:fldChar>
      </w:r>
      <w:r>
        <w:instrText xml:space="preserve"> FORMTEXT </w:instrText>
      </w:r>
      <w:r>
        <w:fldChar w:fldCharType="separate"/>
      </w:r>
      <w:r>
        <w:rPr>
          <w:rFonts w:hint="eastAsia"/>
        </w:rPr>
        <w:t>13.080</w:t>
      </w:r>
      <w:r>
        <w:fldChar w:fldCharType="end"/>
      </w:r>
      <w:bookmarkEnd w:id="0"/>
    </w:p>
    <w:p w14:paraId="4A916A7C">
      <w:pPr>
        <w:pStyle w:val="34"/>
        <w:framePr w:wrap="around"/>
      </w:pPr>
      <w:bookmarkStart w:id="1" w:name="WXFLH"/>
      <w:r>
        <w:fldChar w:fldCharType="begin">
          <w:ffData>
            <w:name w:val="WXFLH"/>
            <w:enabled/>
            <w:calcOnExit w:val="0"/>
            <w:helpText w:type="text" w:val="请输入中国标准文献分类号："/>
            <w:textInput>
              <w:default w:val="点击此处添加中国标准文献分类号"/>
            </w:textInput>
          </w:ffData>
        </w:fldChar>
      </w:r>
      <w:r>
        <w:instrText xml:space="preserve"> FORMTEXT </w:instrText>
      </w:r>
      <w:r>
        <w:fldChar w:fldCharType="separate"/>
      </w:r>
      <w:r>
        <w:rPr>
          <w:rFonts w:hint="eastAsia"/>
        </w:rPr>
        <w:t>B 11</w:t>
      </w:r>
      <w:r>
        <w:fldChar w:fldCharType="end"/>
      </w:r>
      <w:bookmarkEnd w:id="1"/>
    </w:p>
    <w:tbl>
      <w:tblPr>
        <w:tblStyle w:val="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522"/>
      </w:tblGrid>
      <w:tr w14:paraId="1E86F8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4" w:type="dxa"/>
            <w:tcBorders>
              <w:top w:val="nil"/>
              <w:left w:val="nil"/>
              <w:bottom w:val="nil"/>
              <w:right w:val="nil"/>
            </w:tcBorders>
          </w:tcPr>
          <w:p w14:paraId="47AEF8AE">
            <w:pPr>
              <w:pStyle w:val="34"/>
              <w:framePr w:wrap="around"/>
            </w:pPr>
            <w:r>
              <w:pict>
                <v:rect id="BAH" o:spid="_x0000_s1031" o:spt="1" style="position:absolute;left:0pt;margin-left:-5.25pt;margin-top:0pt;height:15.6pt;width:68.25pt;z-index:251664384;mso-width-relative:page;mso-height-relative:page;" stroked="f" coordsize="21600,21600">
                  <v:path/>
                  <v:fill focussize="0,0"/>
                  <v:stroke on="f"/>
                  <v:imagedata o:title=""/>
                  <o:lock v:ext="edit"/>
                </v:rect>
              </w:pict>
            </w:r>
            <w:r>
              <w:fldChar w:fldCharType="begin">
                <w:ffData>
                  <w:name w:val="BAH"/>
                  <w:enabled/>
                  <w:calcOnExit w:val="0"/>
                  <w:textInput/>
                </w:ffData>
              </w:fldChar>
            </w:r>
            <w:bookmarkStart w:id="2" w:name="BAH"/>
            <w:r>
              <w:instrText xml:space="preserve"> FORMTEXT </w:instrText>
            </w:r>
            <w:r>
              <w:fldChar w:fldCharType="separate"/>
            </w:r>
            <w:r>
              <w:t>     </w:t>
            </w:r>
            <w:r>
              <w:fldChar w:fldCharType="end"/>
            </w:r>
            <w:bookmarkEnd w:id="2"/>
          </w:p>
        </w:tc>
      </w:tr>
    </w:tbl>
    <w:p w14:paraId="3AFF4ABC">
      <w:pPr>
        <w:pStyle w:val="31"/>
        <w:framePr w:wrap="around"/>
      </w:pPr>
      <w:r>
        <w:t>DB</w:t>
      </w:r>
      <w:bookmarkStart w:id="3" w:name="c3"/>
      <w:r>
        <w:fldChar w:fldCharType="begin">
          <w:ffData>
            <w:name w:val="c3"/>
            <w:enabled/>
            <w:calcOnExit w:val="0"/>
            <w:entryMacro w:val="ShowHelp16"/>
            <w:textInput>
              <w:maxLength w:val="2"/>
            </w:textInput>
          </w:ffData>
        </w:fldChar>
      </w:r>
      <w:r>
        <w:instrText xml:space="preserve"> FORMTEXT </w:instrText>
      </w:r>
      <w:r>
        <w:fldChar w:fldCharType="separate"/>
      </w:r>
      <w:r>
        <w:rPr>
          <w:rFonts w:hint="eastAsia"/>
        </w:rPr>
        <w:t>32</w:t>
      </w:r>
      <w:r>
        <w:fldChar w:fldCharType="end"/>
      </w:r>
      <w:bookmarkEnd w:id="3"/>
    </w:p>
    <w:p w14:paraId="6EE2DD1E">
      <w:pPr>
        <w:pStyle w:val="32"/>
        <w:framePr w:wrap="around"/>
      </w:pPr>
      <w:bookmarkStart w:id="4" w:name="c4"/>
      <w:r>
        <w:fldChar w:fldCharType="begin">
          <w:ffData>
            <w:name w:val="c4"/>
            <w:enabled/>
            <w:calcOnExit w:val="0"/>
            <w:entryMacro w:val="showhelp12"/>
            <w:textInput/>
          </w:ffData>
        </w:fldChar>
      </w:r>
      <w:r>
        <w:instrText xml:space="preserve"> FORMTEXT </w:instrText>
      </w:r>
      <w:r>
        <w:fldChar w:fldCharType="separate"/>
      </w:r>
      <w:r>
        <w:rPr>
          <w:rFonts w:hint="eastAsia"/>
        </w:rPr>
        <w:t>江苏省</w:t>
      </w:r>
      <w:r>
        <w:fldChar w:fldCharType="end"/>
      </w:r>
      <w:bookmarkEnd w:id="4"/>
      <w:r>
        <w:rPr>
          <w:rFonts w:hint="eastAsia"/>
        </w:rPr>
        <w:t>地方标准</w:t>
      </w:r>
    </w:p>
    <w:p w14:paraId="1049CB67">
      <w:pPr>
        <w:pStyle w:val="16"/>
        <w:framePr w:wrap="around"/>
        <w:rPr>
          <w:rFonts w:hAnsi="黑体"/>
        </w:rPr>
      </w:pPr>
      <w:r>
        <w:rPr>
          <w:rFonts w:ascii="Times New Roman"/>
        </w:rPr>
        <w:t xml:space="preserve">DB </w:t>
      </w:r>
      <w:bookmarkStart w:id="5" w:name="StdNo0"/>
      <w:r>
        <w:rPr>
          <w:rFonts w:hAnsi="黑体"/>
        </w:rPr>
        <w:fldChar w:fldCharType="begin">
          <w:ffData>
            <w:name w:val="StdNo0"/>
            <w:enabled/>
            <w:calcOnExit w:val="0"/>
            <w:textInput>
              <w:default w:val="XX"/>
              <w:maxLength w:val="2"/>
            </w:textInput>
          </w:ffData>
        </w:fldChar>
      </w:r>
      <w:r>
        <w:rPr>
          <w:rFonts w:hAnsi="黑体"/>
        </w:rPr>
        <w:instrText xml:space="preserve"> FORMTEXT </w:instrText>
      </w:r>
      <w:r>
        <w:rPr>
          <w:rFonts w:hAnsi="黑体"/>
        </w:rPr>
        <w:fldChar w:fldCharType="separate"/>
      </w:r>
      <w:r>
        <w:rPr>
          <w:rFonts w:hint="eastAsia" w:hAnsi="黑体"/>
        </w:rPr>
        <w:t>32</w:t>
      </w:r>
      <w:r>
        <w:rPr>
          <w:rFonts w:hAnsi="黑体"/>
        </w:rPr>
        <w:fldChar w:fldCharType="end"/>
      </w:r>
      <w:bookmarkEnd w:id="5"/>
      <w:r>
        <w:rPr>
          <w:rFonts w:hAnsi="黑体"/>
        </w:rPr>
        <w:t>/</w:t>
      </w:r>
      <w:r>
        <w:rPr>
          <w:rFonts w:hint="eastAsia" w:hAnsi="黑体"/>
        </w:rPr>
        <w:t>T</w:t>
      </w:r>
      <w:r>
        <w:rPr>
          <w:rFonts w:hAnsi="黑体"/>
        </w:rPr>
        <w:t xml:space="preserve"> </w:t>
      </w:r>
      <w:bookmarkStart w:id="6" w:name="StdNo1"/>
      <w:r>
        <w:rPr>
          <w:rFonts w:hAnsi="黑体"/>
        </w:rPr>
        <w:fldChar w:fldCharType="begin">
          <w:ffData>
            <w:name w:val="StdNo1"/>
            <w:enabled/>
            <w:calcOnExit w:val="0"/>
            <w:textInput>
              <w:default w:val="XXXXX"/>
            </w:textInput>
          </w:ffData>
        </w:fldChar>
      </w:r>
      <w:r>
        <w:rPr>
          <w:rFonts w:hAnsi="黑体"/>
        </w:rPr>
        <w:instrText xml:space="preserve"> FORMTEXT </w:instrText>
      </w:r>
      <w:r>
        <w:rPr>
          <w:rFonts w:hAnsi="黑体"/>
        </w:rPr>
        <w:fldChar w:fldCharType="separate"/>
      </w:r>
      <w:r>
        <w:rPr>
          <w:rFonts w:hAnsi="黑体"/>
        </w:rPr>
        <w:t>XXXXX</w:t>
      </w:r>
      <w:r>
        <w:rPr>
          <w:rFonts w:hAnsi="黑体"/>
        </w:rPr>
        <w:fldChar w:fldCharType="end"/>
      </w:r>
      <w:bookmarkEnd w:id="6"/>
      <w:r>
        <w:rPr>
          <w:rFonts w:hAnsi="黑体"/>
        </w:rPr>
        <w:t>—</w:t>
      </w:r>
      <w:bookmarkStart w:id="7" w:name="StdNo2"/>
      <w:r>
        <w:rPr>
          <w:rFonts w:hAnsi="黑体"/>
        </w:rPr>
        <w:fldChar w:fldCharType="begin">
          <w:ffData>
            <w:name w:val="StdNo2"/>
            <w:enabled/>
            <w:calcOnExit w:val="0"/>
            <w:textInput>
              <w:default w:val="XXXX"/>
              <w:maxLength w:val="4"/>
            </w:textInput>
          </w:ffData>
        </w:fldChar>
      </w:r>
      <w:r>
        <w:rPr>
          <w:rFonts w:hAnsi="黑体"/>
        </w:rPr>
        <w:instrText xml:space="preserve"> FORMTEXT </w:instrText>
      </w:r>
      <w:r>
        <w:rPr>
          <w:rFonts w:hAnsi="黑体"/>
        </w:rPr>
        <w:fldChar w:fldCharType="separate"/>
      </w:r>
      <w:r>
        <w:rPr>
          <w:rFonts w:hAnsi="黑体"/>
        </w:rPr>
        <w:t>XXXX</w:t>
      </w:r>
      <w:r>
        <w:rPr>
          <w:rFonts w:hAnsi="黑体"/>
        </w:rPr>
        <w:fldChar w:fldCharType="end"/>
      </w:r>
      <w:bookmarkEnd w:id="7"/>
    </w:p>
    <w:tbl>
      <w:tblPr>
        <w:tblStyle w:val="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14:paraId="5A00EE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tcPr>
          <w:p w14:paraId="7A0CD980">
            <w:pPr>
              <w:pStyle w:val="19"/>
              <w:framePr w:wrap="around"/>
            </w:pPr>
            <w:bookmarkStart w:id="8" w:name="DT"/>
            <w:r>
              <w:pict>
                <v:rect id="DT" o:spid="_x0000_s1026" o:spt="1" style="position:absolute;left:0pt;margin-left:372.8pt;margin-top:2.7pt;height:18pt;width:90pt;z-index:-251657216;mso-width-relative:page;mso-height-relative:page;" stroked="f" coordsize="21600,21600">
                  <v:path/>
                  <v:fill focussize="0,0"/>
                  <v:stroke on="f"/>
                  <v:imagedata o:title=""/>
                  <o:lock v:ext="edit"/>
                </v:rect>
              </w:pict>
            </w:r>
            <w:r>
              <w:fldChar w:fldCharType="begin">
                <w:ffData>
                  <w:name w:val="DT"/>
                  <w:enabled/>
                  <w:calcOnExit w:val="0"/>
                  <w:entryMacro w:val="ShowHelp4"/>
                  <w:textInput/>
                </w:ffData>
              </w:fldChar>
            </w:r>
            <w:r>
              <w:instrText xml:space="preserve"> FORMTEXT </w:instrText>
            </w:r>
            <w:r>
              <w:fldChar w:fldCharType="separate"/>
            </w:r>
            <w:r>
              <w:t>     </w:t>
            </w:r>
            <w:r>
              <w:fldChar w:fldCharType="end"/>
            </w:r>
            <w:bookmarkEnd w:id="8"/>
          </w:p>
        </w:tc>
      </w:tr>
    </w:tbl>
    <w:p w14:paraId="70C4A711">
      <w:pPr>
        <w:pStyle w:val="16"/>
        <w:framePr w:wrap="around"/>
        <w:rPr>
          <w:rFonts w:hAnsi="黑体"/>
        </w:rPr>
      </w:pPr>
    </w:p>
    <w:p w14:paraId="434A361B">
      <w:pPr>
        <w:pStyle w:val="16"/>
        <w:framePr w:wrap="around"/>
        <w:rPr>
          <w:rFonts w:hAnsi="黑体"/>
        </w:rPr>
      </w:pPr>
    </w:p>
    <w:p w14:paraId="110A7843">
      <w:pPr>
        <w:pStyle w:val="20"/>
        <w:framePr w:wrap="around"/>
      </w:pPr>
      <w:bookmarkStart w:id="9" w:name="StdName"/>
      <w:r>
        <w:fldChar w:fldCharType="begin">
          <w:ffData>
            <w:name w:val="StdName"/>
            <w:enabled/>
            <w:calcOnExit w:val="0"/>
            <w:textInput>
              <w:default w:val="点击此处添加标准名称"/>
            </w:textInput>
          </w:ffData>
        </w:fldChar>
      </w:r>
      <w:r>
        <w:instrText xml:space="preserve"> FORMTEXT </w:instrText>
      </w:r>
      <w:r>
        <w:fldChar w:fldCharType="separate"/>
      </w:r>
      <w:r>
        <w:rPr>
          <w:rFonts w:hint="eastAsia"/>
        </w:rPr>
        <w:t xml:space="preserve">耕地土壤中水溶性硒的测定 </w:t>
      </w:r>
    </w:p>
    <w:p w14:paraId="59B45CA2">
      <w:pPr>
        <w:pStyle w:val="20"/>
        <w:framePr w:wrap="around"/>
      </w:pPr>
      <w:r>
        <w:rPr>
          <w:rFonts w:hint="eastAsia"/>
        </w:rPr>
        <w:t>氢化物发生-原子荧光光谱法</w:t>
      </w:r>
      <w:r>
        <w:fldChar w:fldCharType="end"/>
      </w:r>
      <w:bookmarkEnd w:id="9"/>
    </w:p>
    <w:p w14:paraId="775298D3">
      <w:pPr>
        <w:pStyle w:val="21"/>
        <w:framePr w:wrap="around"/>
      </w:pPr>
      <w:bookmarkStart w:id="10" w:name="StdEnglishName"/>
      <w:r>
        <w:fldChar w:fldCharType="begin">
          <w:ffData>
            <w:name w:val="StdEnglishName"/>
            <w:enabled/>
            <w:calcOnExit w:val="0"/>
            <w:textInput>
              <w:default w:val="点击此处添加标准英文译名"/>
            </w:textInput>
          </w:ffData>
        </w:fldChar>
      </w:r>
      <w:r>
        <w:instrText xml:space="preserve"> FORMTEXT </w:instrText>
      </w:r>
      <w:r>
        <w:fldChar w:fldCharType="separate"/>
      </w:r>
      <w:r>
        <w:t>Determination of water-soluble</w:t>
      </w:r>
      <w:r>
        <w:rPr>
          <w:rFonts w:hint="eastAsia"/>
        </w:rPr>
        <w:t xml:space="preserve"> </w:t>
      </w:r>
      <w:r>
        <w:t>selenium</w:t>
      </w:r>
      <w:r>
        <w:rPr>
          <w:rFonts w:hint="eastAsia"/>
        </w:rPr>
        <w:t xml:space="preserve"> in arable soil</w:t>
      </w:r>
      <w:r>
        <w:t>—Hydride generation-atomic fluorescence</w:t>
      </w:r>
      <w:r>
        <w:rPr>
          <w:rFonts w:hint="eastAsia"/>
        </w:rPr>
        <w:t xml:space="preserve"> </w:t>
      </w:r>
      <w:r>
        <w:t>spectroscopy</w:t>
      </w:r>
      <w:r>
        <w:fldChar w:fldCharType="end"/>
      </w:r>
      <w:bookmarkEnd w:id="10"/>
    </w:p>
    <w:p w14:paraId="36BDDF06">
      <w:pPr>
        <w:pStyle w:val="22"/>
        <w:framePr w:wrap="around"/>
      </w:pPr>
      <w:bookmarkStart w:id="11" w:name="YZBS"/>
      <w:r>
        <w:fldChar w:fldCharType="begin">
          <w:ffData>
            <w:name w:val="YZBS"/>
            <w:enabled/>
            <w:calcOnExit w:val="0"/>
            <w:textInput>
              <w:default w:val="点击此处添加与国际标准一致性程度的标识"/>
            </w:textInput>
          </w:ffData>
        </w:fldChar>
      </w:r>
      <w:r>
        <w:instrText xml:space="preserve"> FORMTEXT </w:instrText>
      </w:r>
      <w:r>
        <w:fldChar w:fldCharType="separate"/>
      </w:r>
      <w:r>
        <w:t>  (</w:t>
      </w:r>
      <w:r>
        <w:rPr>
          <w:rFonts w:hint="eastAsia"/>
        </w:rPr>
        <w:t>报批</w:t>
      </w:r>
      <w:r>
        <w:t>稿</w:t>
      </w:r>
      <w:r>
        <w:rPr>
          <w:rFonts w:hint="eastAsia"/>
        </w:rPr>
        <w:t>)</w:t>
      </w:r>
      <w:r>
        <w:t>   </w:t>
      </w:r>
      <w:r>
        <w:fldChar w:fldCharType="end"/>
      </w:r>
      <w:bookmarkEnd w:id="11"/>
    </w:p>
    <w:tbl>
      <w:tblPr>
        <w:tblStyle w:val="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5"/>
      </w:tblGrid>
      <w:tr w14:paraId="00E203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14:paraId="2D21B323">
            <w:pPr>
              <w:pStyle w:val="23"/>
              <w:framePr w:wrap="around"/>
            </w:pPr>
            <w:r>
              <w:pict>
                <v:rect id="RQ" o:spid="_x0000_s1030" o:spt="1" style="position:absolute;left:0pt;margin-left:173.3pt;margin-top:45.15pt;height:20pt;width:150pt;z-index:251663360;mso-width-relative:page;mso-height-relative:page;" stroked="f" coordsize="21600,21600">
                  <v:path/>
                  <v:fill focussize="0,0"/>
                  <v:stroke on="f"/>
                  <v:imagedata o:title=""/>
                  <o:lock v:ext="edit"/>
                  <w10:anchorlock/>
                </v:rect>
              </w:pict>
            </w:r>
            <w:r>
              <w:pict>
                <v:rect id="LB" o:spid="_x0000_s1029" o:spt="1" style="position:absolute;left:0pt;margin-left:193.3pt;margin-top:20.15pt;height:24pt;width:100pt;z-index:251662336;mso-width-relative:page;mso-height-relative:page;" stroked="f" coordsize="21600,21600">
                  <v:path/>
                  <v:fill focussize="0,0"/>
                  <v:stroke on="f"/>
                  <v:imagedata o:title=""/>
                  <o:lock v:ext="edit"/>
                </v:rect>
              </w:pict>
            </w:r>
            <w:r>
              <w:fldChar w:fldCharType="begin">
                <w:ffData>
                  <w:name w:val="LB"/>
                  <w:enabled/>
                  <w:calcOnExit w:val="0"/>
                  <w:ddList>
                    <w:listEntry w:val="文稿版次选择"/>
                    <w:listEntry w:val="（工作组讨论稿）"/>
                    <w:listEntry w:val="（征求意见稿）"/>
                    <w:listEntry w:val="（送审讨论稿）"/>
                    <w:listEntry w:val="（送审稿）"/>
                    <w:listEntry w:val="（报批稿）"/>
                  </w:ddList>
                </w:ffData>
              </w:fldChar>
            </w:r>
            <w:bookmarkStart w:id="12" w:name="LB"/>
            <w:r>
              <w:instrText xml:space="preserve"> FORMDROPDOWN </w:instrText>
            </w:r>
            <w:r>
              <w:fldChar w:fldCharType="separate"/>
            </w:r>
            <w:r>
              <w:fldChar w:fldCharType="end"/>
            </w:r>
            <w:bookmarkEnd w:id="12"/>
          </w:p>
        </w:tc>
      </w:tr>
      <w:tr w14:paraId="561E87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14:paraId="79BCABFA">
            <w:pPr>
              <w:pStyle w:val="24"/>
              <w:framePr w:wrap="around"/>
            </w:pPr>
            <w:bookmarkStart w:id="13" w:name="WCRQ"/>
            <w:r>
              <w:fldChar w:fldCharType="begin">
                <w:ffData>
                  <w:name w:val="WCRQ"/>
                  <w:enabled/>
                  <w:calcOnExit w:val="0"/>
                  <w:textInput/>
                </w:ffData>
              </w:fldChar>
            </w:r>
            <w:r>
              <w:instrText xml:space="preserve"> FORMTEXT </w:instrText>
            </w:r>
            <w:r>
              <w:fldChar w:fldCharType="separate"/>
            </w:r>
            <w:r>
              <w:t>     </w:t>
            </w:r>
            <w:r>
              <w:fldChar w:fldCharType="end"/>
            </w:r>
            <w:bookmarkEnd w:id="13"/>
          </w:p>
        </w:tc>
      </w:tr>
    </w:tbl>
    <w:p w14:paraId="6C493A17">
      <w:pPr>
        <w:pStyle w:val="38"/>
        <w:framePr w:wrap="around"/>
      </w:pPr>
      <w:bookmarkStart w:id="14" w:name="FY"/>
      <w:r>
        <w:rPr>
          <w:rFonts w:ascii="黑体"/>
        </w:rPr>
        <w:fldChar w:fldCharType="begin">
          <w:ffData>
            <w:name w:val="FY"/>
            <w:enabled/>
            <w:calcOnExit w:val="0"/>
            <w:entryMacro w:val="ShowHelp8"/>
            <w:textInput>
              <w:default w:val="XXXX"/>
              <w:maxLength w:val="4"/>
            </w:textInput>
          </w:ffData>
        </w:fldChar>
      </w:r>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FM"/>
            <w:enabled/>
            <w:calcOnExit w:val="0"/>
            <w:entryMacro w:val="ShowHelp8"/>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t xml:space="preserve"> </w:t>
      </w:r>
      <w:r>
        <w:rPr>
          <w:rFonts w:ascii="黑体"/>
        </w:rPr>
        <w:t>-</w:t>
      </w:r>
      <w:r>
        <w:t xml:space="preserve"> </w:t>
      </w:r>
      <w:bookmarkStart w:id="15" w:name="FD"/>
      <w:r>
        <w:rPr>
          <w:rFonts w:ascii="黑体"/>
        </w:rPr>
        <w:fldChar w:fldCharType="begin">
          <w:ffData>
            <w:name w:val="FD"/>
            <w:enabled/>
            <w:calcOnExit w:val="0"/>
            <w:entryMacro w:val="ShowHelp8"/>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r>
        <w:pict>
          <v:line id="直线 10" o:spid="_x0000_s1027" o:spt="20" style="position:absolute;left:0pt;margin-left:-0.05pt;margin-top:728.5pt;height:0pt;width:481.9pt;mso-position-vertical-relative:page;z-index:251660288;mso-width-relative:page;mso-height-relative:page;" coordsize="21600,21600">
            <v:path arrowok="t"/>
            <v:fill focussize="0,0"/>
            <v:stroke/>
            <v:imagedata o:title=""/>
            <o:lock v:ext="edit"/>
            <w10:anchorlock/>
          </v:line>
        </w:pict>
      </w:r>
    </w:p>
    <w:p w14:paraId="5046708D">
      <w:pPr>
        <w:pStyle w:val="39"/>
        <w:framePr w:wrap="around"/>
      </w:pPr>
      <w:bookmarkStart w:id="16" w:name="SY"/>
      <w:r>
        <w:rPr>
          <w:rFonts w:ascii="黑体"/>
        </w:rPr>
        <w:fldChar w:fldCharType="begin">
          <w:ffData>
            <w:name w:val="SY"/>
            <w:enabled/>
            <w:calcOnExit w:val="0"/>
            <w:entryMacro w:val="ShowHelp9"/>
            <w:textInput>
              <w:default w:val="XXXX"/>
              <w:maxLength w:val="4"/>
            </w:textInput>
          </w:ffData>
        </w:fldChar>
      </w:r>
      <w:r>
        <w:rPr>
          <w:rFonts w:ascii="黑体"/>
        </w:rPr>
        <w:instrText xml:space="preserve"> FORMTEXT </w:instrText>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bookmarkStart w:id="17" w:name="SM"/>
      <w:r>
        <w:rPr>
          <w:rFonts w:ascii="黑体"/>
        </w:rPr>
        <w:fldChar w:fldCharType="begin">
          <w:ffData>
            <w:name w:val="SM"/>
            <w:enabled/>
            <w:calcOnExit w:val="0"/>
            <w:entryMacro w:val="ShowHelp9"/>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bookmarkStart w:id="18" w:name="SD"/>
      <w:r>
        <w:rPr>
          <w:rFonts w:ascii="黑体"/>
        </w:rPr>
        <w:fldChar w:fldCharType="begin">
          <w:ffData>
            <w:name w:val="SD"/>
            <w:enabled/>
            <w:calcOnExit w:val="0"/>
            <w:entryMacro w:val="ShowHelp9"/>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14:paraId="3958B627">
      <w:pPr>
        <w:pStyle w:val="33"/>
        <w:framePr w:wrap="around"/>
      </w:pPr>
      <w:bookmarkStart w:id="19" w:name="fm"/>
      <w:r>
        <w:fldChar w:fldCharType="begin">
          <w:ffData>
            <w:name w:val="fm"/>
            <w:enabled/>
            <w:calcOnExit w:val="0"/>
            <w:textInput/>
          </w:ffData>
        </w:fldChar>
      </w:r>
      <w:r>
        <w:instrText xml:space="preserve"> FORMTEXT </w:instrText>
      </w:r>
      <w:r>
        <w:fldChar w:fldCharType="separate"/>
      </w:r>
      <w:r>
        <w:rPr>
          <w:rFonts w:hint="eastAsia"/>
        </w:rPr>
        <w:t>江苏省市场监督管理局</w:t>
      </w:r>
      <w:r>
        <w:fldChar w:fldCharType="end"/>
      </w:r>
      <w:bookmarkEnd w:id="19"/>
      <w:r>
        <w:rPr>
          <w:rFonts w:hint="eastAsia" w:ascii="MS Mincho" w:hAnsi="MS Mincho" w:eastAsia="MS Mincho" w:cs="MS Mincho"/>
        </w:rPr>
        <w:t>   </w:t>
      </w:r>
      <w:r>
        <w:rPr>
          <w:rStyle w:val="18"/>
          <w:rFonts w:hint="eastAsia"/>
        </w:rPr>
        <w:t>发布</w:t>
      </w:r>
    </w:p>
    <w:p w14:paraId="33A328E7">
      <w:pPr>
        <w:pStyle w:val="9"/>
        <w:sectPr>
          <w:pgSz w:w="11906" w:h="16838"/>
          <w:pgMar w:top="1440" w:right="1800" w:bottom="1440" w:left="1800" w:header="851" w:footer="992" w:gutter="0"/>
          <w:cols w:space="425" w:num="1"/>
          <w:docGrid w:type="lines" w:linePitch="312" w:charSpace="0"/>
        </w:sectPr>
      </w:pPr>
      <w:r>
        <w:pict>
          <v:line id="直线 11" o:spid="_x0000_s1028" o:spt="20" style="position:absolute;left:0pt;margin-left:-0.05pt;margin-top:184.25pt;height:0pt;width:481.9pt;z-index:251661312;mso-width-relative:page;mso-height-relative:page;" coordsize="21600,21600">
            <v:path arrowok="t"/>
            <v:fill focussize="0,0"/>
            <v:stroke/>
            <v:imagedata o:title=""/>
            <o:lock v:ext="edit"/>
          </v:line>
        </w:pict>
      </w:r>
    </w:p>
    <w:p w14:paraId="76F39ACC">
      <w:pPr>
        <w:pStyle w:val="26"/>
        <w:tabs>
          <w:tab w:val="center" w:pos="4677"/>
          <w:tab w:val="right" w:pos="9354"/>
        </w:tabs>
        <w:jc w:val="left"/>
      </w:pPr>
      <w:bookmarkStart w:id="20" w:name="_Toc91448161"/>
      <w:bookmarkStart w:id="21" w:name="_Toc91448931"/>
      <w:r>
        <w:tab/>
      </w:r>
      <w:r>
        <w:rPr>
          <w:rFonts w:hint="eastAsia"/>
        </w:rPr>
        <w:t>前</w:t>
      </w:r>
      <w:bookmarkStart w:id="22" w:name="BKQY"/>
      <w:r>
        <w:rPr>
          <w:rFonts w:hint="eastAsia" w:ascii="MS Mincho" w:hAnsi="MS Mincho" w:eastAsia="MS Mincho" w:cs="MS Mincho"/>
        </w:rPr>
        <w:t>  </w:t>
      </w:r>
      <w:r>
        <w:rPr>
          <w:rFonts w:hint="eastAsia"/>
        </w:rPr>
        <w:t>言</w:t>
      </w:r>
      <w:bookmarkEnd w:id="20"/>
      <w:bookmarkEnd w:id="21"/>
      <w:bookmarkEnd w:id="22"/>
      <w:r>
        <w:tab/>
      </w:r>
    </w:p>
    <w:p w14:paraId="7A86862E">
      <w:pPr>
        <w:pStyle w:val="9"/>
      </w:pPr>
      <w:r>
        <w:rPr>
          <w:rFonts w:hint="eastAsia"/>
        </w:rPr>
        <w:t>本文件</w:t>
      </w:r>
      <w:r>
        <w:t>按照GB/T 1.1-20</w:t>
      </w:r>
      <w:r>
        <w:rPr>
          <w:rFonts w:hint="eastAsia"/>
        </w:rPr>
        <w:t>20</w:t>
      </w:r>
      <w:r>
        <w:rPr>
          <w:rFonts w:hint="eastAsia"/>
          <w:color w:val="000000"/>
        </w:rPr>
        <w:t>《标准化工作导则 第1部分：标准化文件的结构和起草规则》</w:t>
      </w:r>
      <w:r>
        <w:t>的规</w:t>
      </w:r>
      <w:r>
        <w:rPr>
          <w:rFonts w:hint="eastAsia"/>
        </w:rPr>
        <w:t>定</w:t>
      </w:r>
      <w:r>
        <w:t>起草。</w:t>
      </w:r>
    </w:p>
    <w:p w14:paraId="15D69F81">
      <w:pPr>
        <w:snapToGrid w:val="0"/>
        <w:spacing w:line="276" w:lineRule="auto"/>
        <w:ind w:firstLine="420" w:firstLineChars="200"/>
      </w:pPr>
      <w:r>
        <w:rPr>
          <w:rFonts w:hint="eastAsia"/>
          <w:kern w:val="0"/>
          <w:szCs w:val="21"/>
          <w:lang w:val="zh-CN"/>
        </w:rPr>
        <w:t>请注意本文件的某些内容可能涉及专利。本文件的发布机构不承担识别专利的责任。</w:t>
      </w:r>
    </w:p>
    <w:p w14:paraId="65B1D707">
      <w:pPr>
        <w:pStyle w:val="9"/>
      </w:pPr>
      <w:r>
        <w:rPr>
          <w:rFonts w:hint="eastAsia"/>
        </w:rPr>
        <w:t>本文件</w:t>
      </w:r>
      <w:r>
        <w:t>由</w:t>
      </w:r>
      <w:r>
        <w:rPr>
          <w:rFonts w:hint="eastAsia"/>
        </w:rPr>
        <w:t>江苏</w:t>
      </w:r>
      <w:r>
        <w:t>省土壤修复标准化技术委员会提出</w:t>
      </w:r>
      <w:r>
        <w:rPr>
          <w:rFonts w:hint="eastAsia"/>
          <w:lang w:eastAsia="zh-CN"/>
        </w:rPr>
        <w:t>、</w:t>
      </w:r>
      <w:r>
        <w:rPr>
          <w:rFonts w:hint="eastAsia"/>
        </w:rPr>
        <w:t>归口</w:t>
      </w:r>
      <w:r>
        <w:rPr>
          <w:rFonts w:hint="eastAsia"/>
          <w:lang w:val="en-US" w:eastAsia="zh-CN"/>
        </w:rPr>
        <w:t>并组织实施</w:t>
      </w:r>
      <w:r>
        <w:t>。</w:t>
      </w:r>
    </w:p>
    <w:p w14:paraId="7293061A">
      <w:pPr>
        <w:pStyle w:val="9"/>
      </w:pPr>
      <w:r>
        <w:rPr>
          <w:rFonts w:hint="eastAsia"/>
        </w:rPr>
        <w:t>本文件</w:t>
      </w:r>
      <w:r>
        <w:t>主要起草单位：江苏省</w:t>
      </w:r>
      <w:r>
        <w:rPr>
          <w:rFonts w:hint="eastAsia"/>
        </w:rPr>
        <w:t>地质调查</w:t>
      </w:r>
      <w:r>
        <w:t>研究院</w:t>
      </w:r>
      <w:r>
        <w:rPr>
          <w:rFonts w:hint="eastAsia"/>
        </w:rPr>
        <w:t>、中国科学院南京土壤研究所。</w:t>
      </w:r>
    </w:p>
    <w:p w14:paraId="0D5DF621">
      <w:pPr>
        <w:pStyle w:val="9"/>
      </w:pPr>
      <w:r>
        <w:rPr>
          <w:rFonts w:hint="eastAsia"/>
        </w:rPr>
        <w:t>本文件主要起草人：李明、宋静、袁秀雪、曹磊、常青、陆丽君、李如燕、彭磊、张琦、杨敏娜、秦兴秀、张捷杰。</w:t>
      </w:r>
    </w:p>
    <w:p w14:paraId="002B4878">
      <w:pPr>
        <w:pStyle w:val="9"/>
        <w:sectPr>
          <w:headerReference r:id="rId3" w:type="default"/>
          <w:footerReference r:id="rId4" w:type="default"/>
          <w:pgSz w:w="11906" w:h="16838"/>
          <w:pgMar w:top="567" w:right="1134" w:bottom="1134" w:left="1418" w:header="1418" w:footer="1134" w:gutter="0"/>
          <w:pgNumType w:fmt="upperRoman" w:start="1"/>
          <w:cols w:space="720" w:num="1"/>
          <w:formProt w:val="0"/>
          <w:docGrid w:type="lines" w:linePitch="312" w:charSpace="0"/>
        </w:sectPr>
      </w:pPr>
      <w:bookmarkStart w:id="68" w:name="_GoBack"/>
      <w:bookmarkEnd w:id="68"/>
    </w:p>
    <w:p w14:paraId="77B16F28">
      <w:pPr>
        <w:pStyle w:val="17"/>
      </w:pPr>
      <w:r>
        <w:rPr>
          <w:rFonts w:hint="eastAsia"/>
        </w:rPr>
        <w:t>耕</w:t>
      </w:r>
      <w:bookmarkStart w:id="23" w:name="StandardName"/>
      <w:r>
        <w:rPr>
          <w:rFonts w:hint="eastAsia"/>
        </w:rPr>
        <w:t xml:space="preserve">地土壤中水溶性硒的测定 </w:t>
      </w:r>
      <w:bookmarkEnd w:id="23"/>
      <w:r>
        <w:rPr>
          <w:rFonts w:hint="eastAsia"/>
        </w:rPr>
        <w:t>氢化物发生-原子荧光光谱法</w:t>
      </w:r>
    </w:p>
    <w:p w14:paraId="6D0247D7">
      <w:pPr>
        <w:autoSpaceDE w:val="0"/>
        <w:autoSpaceDN w:val="0"/>
        <w:adjustRightInd w:val="0"/>
        <w:ind w:firstLine="462" w:firstLineChars="220"/>
        <w:jc w:val="left"/>
      </w:pPr>
      <w:r>
        <w:rPr>
          <w:rFonts w:hint="eastAsia" w:ascii="黑体" w:hAnsi="黑体" w:eastAsia="黑体"/>
        </w:rPr>
        <w:t>警示</w:t>
      </w:r>
      <w:r>
        <w:rPr>
          <w:rFonts w:hint="eastAsia" w:eastAsia="黑体"/>
        </w:rPr>
        <w:t>——</w:t>
      </w:r>
      <w:r>
        <w:rPr>
          <w:rFonts w:ascii="黑体" w:hAnsi="黑体" w:eastAsia="黑体"/>
        </w:rPr>
        <w:t>使用</w:t>
      </w:r>
      <w:r>
        <w:rPr>
          <w:rFonts w:hint="eastAsia" w:ascii="黑体" w:hAnsi="黑体" w:eastAsia="黑体"/>
        </w:rPr>
        <w:t>本文件</w:t>
      </w:r>
      <w:r>
        <w:rPr>
          <w:rFonts w:ascii="黑体" w:hAnsi="黑体" w:eastAsia="黑体"/>
        </w:rPr>
        <w:t>的人员应有正规实验室工作的实践经验。</w:t>
      </w:r>
      <w:r>
        <w:rPr>
          <w:rFonts w:hint="eastAsia" w:ascii="黑体" w:hAnsi="黑体" w:eastAsia="黑体"/>
        </w:rPr>
        <w:t>本文件</w:t>
      </w:r>
      <w:r>
        <w:rPr>
          <w:rFonts w:ascii="黑体" w:hAnsi="黑体" w:eastAsia="黑体"/>
        </w:rPr>
        <w:t>并未指出所有可能的安全问题。使用者有责任采取适当的安全和健康措施，并保证符合国家有关法规规定的条件。</w:t>
      </w:r>
    </w:p>
    <w:p w14:paraId="0B8AFC1E">
      <w:pPr>
        <w:pStyle w:val="14"/>
        <w:numPr>
          <w:ilvl w:val="0"/>
          <w:numId w:val="2"/>
        </w:numPr>
        <w:outlineLvl w:val="0"/>
        <w:rPr>
          <w:rFonts w:ascii="Times New Roman"/>
        </w:rPr>
      </w:pPr>
      <w:bookmarkStart w:id="24" w:name="_Toc6789"/>
      <w:bookmarkEnd w:id="24"/>
      <w:bookmarkStart w:id="25" w:name="_Toc91448932"/>
      <w:bookmarkStart w:id="26" w:name="_Toc89523150"/>
      <w:r>
        <w:t>范围</w:t>
      </w:r>
      <w:bookmarkEnd w:id="25"/>
      <w:bookmarkEnd w:id="26"/>
    </w:p>
    <w:p w14:paraId="6DF6CBDC">
      <w:pPr>
        <w:widowControl/>
        <w:spacing w:line="273" w:lineRule="auto"/>
        <w:ind w:firstLine="420" w:firstLineChars="200"/>
        <w:rPr>
          <w:rFonts w:ascii="宋体" w:hAnsi="宋体"/>
          <w:kern w:val="0"/>
        </w:rPr>
      </w:pPr>
      <w:bookmarkStart w:id="27" w:name="_Hlk3233071"/>
      <w:bookmarkEnd w:id="27"/>
      <w:r>
        <w:rPr>
          <w:rFonts w:hint="eastAsia" w:ascii="宋体" w:hAnsi="宋体"/>
          <w:kern w:val="0"/>
        </w:rPr>
        <w:t>本文件描述</w:t>
      </w:r>
      <w:r>
        <w:rPr>
          <w:rFonts w:ascii="宋体" w:hAnsi="宋体"/>
          <w:kern w:val="0"/>
        </w:rPr>
        <w:t>了</w:t>
      </w:r>
      <w:r>
        <w:rPr>
          <w:rFonts w:hint="eastAsia" w:ascii="宋体" w:hAnsi="宋体"/>
          <w:kern w:val="0"/>
        </w:rPr>
        <w:t>氢化物发生</w:t>
      </w:r>
      <w:r>
        <w:rPr>
          <w:rFonts w:hint="eastAsia"/>
          <w:kern w:val="0"/>
        </w:rPr>
        <w:t>-</w:t>
      </w:r>
      <w:r>
        <w:rPr>
          <w:rFonts w:hint="eastAsia" w:ascii="宋体" w:hAnsi="宋体"/>
          <w:kern w:val="0"/>
        </w:rPr>
        <w:t>原子荧光光谱仪测定耕地</w:t>
      </w:r>
      <w:r>
        <w:rPr>
          <w:rFonts w:hint="eastAsia" w:ascii="宋体" w:hAnsi="宋体"/>
        </w:rPr>
        <w:t>土壤中水溶性硒含量的方法</w:t>
      </w:r>
      <w:r>
        <w:rPr>
          <w:rFonts w:ascii="宋体" w:hAnsi="宋体"/>
          <w:kern w:val="0"/>
        </w:rPr>
        <w:t>。</w:t>
      </w:r>
    </w:p>
    <w:p w14:paraId="2FF7A345">
      <w:pPr>
        <w:spacing w:line="273" w:lineRule="auto"/>
        <w:ind w:firstLine="420" w:firstLineChars="200"/>
        <w:rPr>
          <w:rFonts w:ascii="宋体" w:hAnsi="宋体"/>
          <w:kern w:val="0"/>
        </w:rPr>
      </w:pPr>
      <w:r>
        <w:rPr>
          <w:rFonts w:hint="eastAsia" w:ascii="宋体" w:hAnsi="宋体"/>
          <w:kern w:val="0"/>
        </w:rPr>
        <w:t>本文件</w:t>
      </w:r>
      <w:r>
        <w:rPr>
          <w:rFonts w:ascii="宋体" w:hAnsi="宋体"/>
          <w:kern w:val="0"/>
        </w:rPr>
        <w:t>适用于</w:t>
      </w:r>
      <w:r>
        <w:rPr>
          <w:rFonts w:hint="eastAsia" w:ascii="宋体" w:hAnsi="宋体"/>
          <w:kern w:val="0"/>
        </w:rPr>
        <w:t>耕地</w:t>
      </w:r>
      <w:r>
        <w:rPr>
          <w:rFonts w:hint="eastAsia" w:ascii="宋体" w:hAnsi="宋体"/>
        </w:rPr>
        <w:t>土壤中水溶性硒的</w:t>
      </w:r>
      <w:r>
        <w:rPr>
          <w:rFonts w:hint="eastAsia" w:ascii="宋体" w:hAnsi="宋体"/>
          <w:kern w:val="0"/>
        </w:rPr>
        <w:t>测定。</w:t>
      </w:r>
    </w:p>
    <w:p w14:paraId="4A3F5AB8">
      <w:pPr>
        <w:spacing w:line="273" w:lineRule="auto"/>
        <w:ind w:firstLine="420" w:firstLineChars="200"/>
        <w:rPr>
          <w:rFonts w:ascii="宋体" w:hAnsi="宋体"/>
          <w:kern w:val="0"/>
        </w:rPr>
      </w:pPr>
      <w:r>
        <w:rPr>
          <w:rFonts w:hint="eastAsia" w:ascii="宋体" w:hAnsi="宋体"/>
          <w:kern w:val="0"/>
        </w:rPr>
        <w:t>方法检出限为</w:t>
      </w:r>
      <w:r>
        <w:rPr>
          <w:rFonts w:ascii="Times New Roman" w:hAnsi="Times New Roman" w:cs="Times New Roman"/>
        </w:rPr>
        <w:t xml:space="preserve"> 0.000 3 mg/kg</w:t>
      </w:r>
      <w:r>
        <w:rPr>
          <w:rFonts w:hint="eastAsia" w:ascii="Times New Roman" w:hAnsi="Times New Roman" w:cs="Times New Roman"/>
        </w:rPr>
        <w:t>，测定下限为</w:t>
      </w:r>
      <w:r>
        <w:rPr>
          <w:rFonts w:ascii="Times New Roman" w:hAnsi="Times New Roman" w:cs="Times New Roman"/>
        </w:rPr>
        <w:t>0.0</w:t>
      </w:r>
      <w:r>
        <w:rPr>
          <w:rFonts w:hint="eastAsia" w:ascii="Times New Roman" w:hAnsi="Times New Roman" w:cs="Times New Roman"/>
        </w:rPr>
        <w:t>0</w:t>
      </w:r>
      <w:r>
        <w:rPr>
          <w:rFonts w:ascii="Times New Roman" w:hAnsi="Times New Roman" w:cs="Times New Roman"/>
        </w:rPr>
        <w:t>1</w:t>
      </w:r>
      <w:r>
        <w:rPr>
          <w:rFonts w:hint="eastAsia" w:ascii="Times New Roman" w:hAnsi="Times New Roman" w:cs="Times New Roman"/>
        </w:rPr>
        <w:t xml:space="preserve"> </w:t>
      </w:r>
      <w:r>
        <w:rPr>
          <w:rFonts w:ascii="Times New Roman" w:hAnsi="Times New Roman" w:cs="Times New Roman"/>
        </w:rPr>
        <w:t>2 mg/kg</w:t>
      </w:r>
      <w:r>
        <w:rPr>
          <w:rFonts w:hint="eastAsia" w:ascii="Times New Roman" w:hAnsi="Times New Roman" w:cs="Times New Roman"/>
        </w:rPr>
        <w:t>，测定范围为</w:t>
      </w:r>
      <w:r>
        <w:rPr>
          <w:rFonts w:ascii="Times New Roman" w:hAnsi="Times New Roman" w:cs="Times New Roman"/>
        </w:rPr>
        <w:t>0.001 2 mg/kg</w:t>
      </w:r>
      <w:r>
        <w:rPr>
          <w:rFonts w:hint="eastAsia" w:ascii="Times New Roman" w:hAnsi="Times New Roman" w:cs="Times New Roman"/>
        </w:rPr>
        <w:t>～</w:t>
      </w:r>
      <w:r>
        <w:rPr>
          <w:rFonts w:ascii="Times New Roman" w:hAnsi="Times New Roman" w:cs="Times New Roman"/>
        </w:rPr>
        <w:t>0.8 mg/kg</w:t>
      </w:r>
      <w:r>
        <w:rPr>
          <w:rFonts w:hint="eastAsia" w:ascii="Times New Roman" w:hAnsi="Times New Roman" w:cs="Times New Roman"/>
        </w:rPr>
        <w:t>。</w:t>
      </w:r>
    </w:p>
    <w:p w14:paraId="7B8817B6">
      <w:pPr>
        <w:pStyle w:val="14"/>
        <w:numPr>
          <w:ilvl w:val="0"/>
          <w:numId w:val="2"/>
        </w:numPr>
        <w:outlineLvl w:val="0"/>
        <w:rPr>
          <w:rFonts w:ascii="Times New Roman"/>
        </w:rPr>
      </w:pPr>
      <w:bookmarkStart w:id="28" w:name="_Toc89523151"/>
      <w:bookmarkEnd w:id="28"/>
      <w:bookmarkStart w:id="29" w:name="_Toc91448933"/>
      <w:bookmarkStart w:id="30" w:name="_Toc30522"/>
      <w:r>
        <w:t>规范性引用文件</w:t>
      </w:r>
      <w:bookmarkEnd w:id="29"/>
      <w:bookmarkEnd w:id="30"/>
    </w:p>
    <w:p w14:paraId="2F029D46">
      <w:pPr>
        <w:pStyle w:val="9"/>
        <w:rPr>
          <w:rFonts w:ascii="Times New Roman"/>
        </w:rPr>
      </w:pPr>
      <w:r>
        <w:t>下列文件中的内容通过文中的规范性引用而构成本文件必不可少的条款。其中，注日期的引用文件</w:t>
      </w:r>
      <w:r>
        <w:rPr>
          <w:rFonts w:hint="eastAsia"/>
        </w:rPr>
        <w:t>，</w:t>
      </w:r>
      <w:r>
        <w:t>仅该日期对应的版本适用于本文件</w:t>
      </w:r>
      <w:r>
        <w:rPr>
          <w:rFonts w:hint="eastAsia"/>
        </w:rPr>
        <w:t>；</w:t>
      </w:r>
      <w:r>
        <w:t>不注日期的引用文件，其最新版本（包括所有的修改单）适用于本文件。</w:t>
      </w:r>
    </w:p>
    <w:p w14:paraId="63554A08">
      <w:pPr>
        <w:pStyle w:val="9"/>
        <w:widowControl/>
        <w:spacing w:line="273" w:lineRule="auto"/>
        <w:ind w:left="420" w:leftChars="200" w:firstLine="0" w:firstLineChars="0"/>
        <w:rPr>
          <w:rFonts w:ascii="Times New Roman"/>
        </w:rPr>
      </w:pPr>
      <w:r>
        <w:rPr>
          <w:rFonts w:ascii="Times New Roman"/>
        </w:rPr>
        <w:t>GB/T 6379.4  测量方法与结果的准确度</w:t>
      </w:r>
      <w:r>
        <w:rPr>
          <w:rFonts w:hint="eastAsia" w:ascii="Times New Roman"/>
        </w:rPr>
        <w:t>（</w:t>
      </w:r>
      <w:r>
        <w:rPr>
          <w:rFonts w:ascii="Times New Roman"/>
        </w:rPr>
        <w:t>正确度与精密度</w:t>
      </w:r>
      <w:r>
        <w:rPr>
          <w:rFonts w:hint="eastAsia" w:ascii="Times New Roman"/>
        </w:rPr>
        <w:t>）</w:t>
      </w:r>
      <w:r>
        <w:rPr>
          <w:rFonts w:ascii="Times New Roman"/>
        </w:rPr>
        <w:t>第4部分：确定标准测量方法正确度的基本</w:t>
      </w:r>
      <w:r>
        <w:rPr>
          <w:rFonts w:hint="eastAsia" w:ascii="Times New Roman"/>
        </w:rPr>
        <w:t>方法</w:t>
      </w:r>
    </w:p>
    <w:p w14:paraId="5A05F124">
      <w:pPr>
        <w:pStyle w:val="9"/>
      </w:pPr>
      <w:r>
        <w:rPr>
          <w:rFonts w:ascii="Times New Roman"/>
        </w:rPr>
        <w:t xml:space="preserve">GB/T 6682 </w:t>
      </w:r>
      <w:r>
        <w:rPr>
          <w:rFonts w:hint="eastAsia" w:ascii="Times New Roman"/>
        </w:rPr>
        <w:t xml:space="preserve"> </w:t>
      </w:r>
      <w:r>
        <w:t>分析实验室用水规格和试验方法</w:t>
      </w:r>
    </w:p>
    <w:p w14:paraId="5FC723D1">
      <w:pPr>
        <w:widowControl/>
        <w:spacing w:line="273" w:lineRule="auto"/>
        <w:ind w:left="420" w:leftChars="200"/>
        <w:rPr>
          <w:rFonts w:ascii="Times New Roman" w:hAnsi="Times New Roman" w:cs="Times New Roman"/>
        </w:rPr>
      </w:pPr>
      <w:r>
        <w:rPr>
          <w:rFonts w:ascii="Times New Roman" w:hAnsi="Times New Roman" w:cs="Times New Roman"/>
        </w:rPr>
        <w:t xml:space="preserve">DD 2005-03  </w:t>
      </w:r>
      <w:r>
        <w:rPr>
          <w:rFonts w:hint="eastAsia" w:ascii="Times New Roman" w:hAnsi="Times New Roman" w:cs="Times New Roman"/>
        </w:rPr>
        <w:t>生态地球化学评价样品分析技术要求（试行）</w:t>
      </w:r>
    </w:p>
    <w:p w14:paraId="75B5FD70">
      <w:pPr>
        <w:widowControl/>
        <w:spacing w:line="273" w:lineRule="auto"/>
        <w:ind w:left="420" w:leftChars="200"/>
        <w:rPr>
          <w:rFonts w:ascii="宋体" w:hAnsi="宋体"/>
        </w:rPr>
      </w:pPr>
      <w:r>
        <w:rPr>
          <w:rFonts w:ascii="Times New Roman" w:hAnsi="Times New Roman" w:cs="Times New Roman"/>
        </w:rPr>
        <w:t>NY/T 1121.1 土壤检测第1部分：土壤样品的采集、处理和储</w:t>
      </w:r>
      <w:r>
        <w:rPr>
          <w:rFonts w:hint="eastAsia" w:ascii="宋体" w:hAnsi="宋体"/>
        </w:rPr>
        <w:t>存</w:t>
      </w:r>
    </w:p>
    <w:p w14:paraId="61C89CD5">
      <w:pPr>
        <w:pStyle w:val="14"/>
        <w:numPr>
          <w:ilvl w:val="0"/>
          <w:numId w:val="2"/>
        </w:numPr>
        <w:outlineLvl w:val="0"/>
      </w:pPr>
      <w:r>
        <w:rPr>
          <w:rFonts w:hint="eastAsia"/>
        </w:rPr>
        <w:t>术语和定义</w:t>
      </w:r>
    </w:p>
    <w:p w14:paraId="68358DFD">
      <w:pPr>
        <w:widowControl/>
        <w:spacing w:line="273" w:lineRule="auto"/>
        <w:ind w:left="420" w:leftChars="200"/>
        <w:rPr>
          <w:rFonts w:ascii="宋体"/>
          <w:kern w:val="0"/>
          <w:szCs w:val="20"/>
        </w:rPr>
      </w:pPr>
      <w:r>
        <w:rPr>
          <w:rFonts w:hint="eastAsia" w:ascii="宋体"/>
          <w:kern w:val="0"/>
          <w:szCs w:val="20"/>
        </w:rPr>
        <w:t>下列术语和定义适用于本文件。</w:t>
      </w:r>
    </w:p>
    <w:p w14:paraId="6995115A">
      <w:pPr>
        <w:pStyle w:val="11"/>
        <w:numPr>
          <w:ilvl w:val="1"/>
          <w:numId w:val="2"/>
        </w:numPr>
        <w:ind w:left="0"/>
        <w:outlineLvl w:val="1"/>
      </w:pPr>
    </w:p>
    <w:p w14:paraId="16C79FDC">
      <w:pPr>
        <w:widowControl/>
        <w:spacing w:line="273" w:lineRule="auto"/>
        <w:ind w:left="420" w:leftChars="200" w:firstLine="0" w:firstLineChars="0"/>
        <w:rPr>
          <w:rFonts w:ascii="Times New Roman" w:hAnsi="Times New Roman" w:cs="Times New Roman"/>
          <w:b/>
          <w:bCs/>
          <w:kern w:val="0"/>
          <w:szCs w:val="20"/>
        </w:rPr>
      </w:pPr>
      <w:r>
        <w:rPr>
          <w:rFonts w:hint="eastAsia" w:ascii="黑体" w:hAnsi="黑体" w:eastAsia="黑体" w:cs="黑体"/>
          <w:b w:val="0"/>
          <w:bCs w:val="0"/>
          <w:kern w:val="0"/>
          <w:szCs w:val="20"/>
        </w:rPr>
        <w:t>水溶性硒</w:t>
      </w:r>
      <w:r>
        <w:rPr>
          <w:rFonts w:ascii="Times New Roman" w:hAnsi="Times New Roman" w:cs="Times New Roman"/>
          <w:b w:val="0"/>
          <w:bCs w:val="0"/>
          <w:kern w:val="0"/>
          <w:szCs w:val="20"/>
        </w:rPr>
        <w:t xml:space="preserve"> </w:t>
      </w:r>
      <w:r>
        <w:rPr>
          <w:rFonts w:ascii="Times New Roman" w:hAnsi="Times New Roman" w:cs="Times New Roman"/>
          <w:b/>
          <w:bCs/>
          <w:kern w:val="0"/>
          <w:szCs w:val="20"/>
        </w:rPr>
        <w:t>water-soluble selenium</w:t>
      </w:r>
    </w:p>
    <w:p w14:paraId="034C7F8F">
      <w:pPr>
        <w:widowControl/>
        <w:spacing w:line="273" w:lineRule="auto"/>
        <w:ind w:left="420" w:leftChars="200" w:firstLine="0" w:firstLineChars="0"/>
      </w:pPr>
      <w:r>
        <w:rPr>
          <w:rFonts w:hint="eastAsia" w:ascii="宋体"/>
          <w:kern w:val="0"/>
          <w:szCs w:val="20"/>
        </w:rPr>
        <w:t>土壤中溶于水可被作物直接吸收利用的硒。</w:t>
      </w:r>
    </w:p>
    <w:p w14:paraId="28C6531D">
      <w:pPr>
        <w:pStyle w:val="14"/>
        <w:numPr>
          <w:ilvl w:val="0"/>
          <w:numId w:val="2"/>
        </w:numPr>
        <w:outlineLvl w:val="0"/>
        <w:rPr>
          <w:rFonts w:ascii="Times New Roman"/>
        </w:rPr>
      </w:pPr>
      <w:bookmarkStart w:id="31" w:name="_Toc89523152"/>
      <w:bookmarkEnd w:id="31"/>
      <w:bookmarkStart w:id="32" w:name="_Toc11218"/>
      <w:bookmarkStart w:id="33" w:name="_Toc91448934"/>
      <w:r>
        <w:t>原理</w:t>
      </w:r>
      <w:bookmarkEnd w:id="32"/>
      <w:bookmarkEnd w:id="33"/>
    </w:p>
    <w:p w14:paraId="5B6F41EC">
      <w:pPr>
        <w:spacing w:line="380" w:lineRule="exact"/>
        <w:ind w:firstLine="420" w:firstLineChars="200"/>
        <w:rPr>
          <w:rFonts w:ascii="宋体" w:hAnsi="宋体"/>
        </w:rPr>
      </w:pPr>
      <w:bookmarkStart w:id="34" w:name="_Toc15572"/>
      <w:bookmarkEnd w:id="34"/>
      <w:r>
        <w:rPr>
          <w:rFonts w:hint="eastAsia" w:ascii="宋体" w:hAnsi="宋体"/>
        </w:rPr>
        <w:t>土</w:t>
      </w:r>
      <w:r>
        <w:rPr>
          <w:rFonts w:hint="eastAsia" w:ascii="Times New Roman" w:hAnsi="Times New Roman" w:cs="Times New Roman"/>
        </w:rPr>
        <w:t>壤中的水溶性硒在土水比为</w:t>
      </w:r>
      <w:r>
        <w:rPr>
          <w:rFonts w:ascii="Times New Roman" w:hAnsi="Times New Roman" w:cs="Times New Roman"/>
        </w:rPr>
        <w:t>1:2</w:t>
      </w:r>
      <w:r>
        <w:rPr>
          <w:rFonts w:hint="eastAsia" w:ascii="Times New Roman" w:hAnsi="Times New Roman" w:cs="Times New Roman"/>
        </w:rPr>
        <w:t>的条件下，经沸水浸提后，滤液用强酸消解，在盐酸介质中形成亚硒酸根离子（</w:t>
      </w:r>
      <w:r>
        <w:rPr>
          <w:rFonts w:ascii="Times New Roman" w:hAnsi="Times New Roman" w:cs="Times New Roman"/>
        </w:rPr>
        <w:t>SeO</w:t>
      </w:r>
      <w:r>
        <w:rPr>
          <w:rFonts w:ascii="Times New Roman" w:hAnsi="Times New Roman" w:cs="Times New Roman"/>
          <w:vertAlign w:val="subscript"/>
        </w:rPr>
        <w:t>3</w:t>
      </w:r>
      <w:r>
        <w:rPr>
          <w:rFonts w:ascii="Times New Roman" w:hAnsi="Times New Roman" w:cs="Times New Roman"/>
          <w:vertAlign w:val="superscript"/>
        </w:rPr>
        <w:t>2-</w:t>
      </w:r>
      <w:r>
        <w:rPr>
          <w:rFonts w:hint="eastAsia" w:ascii="Times New Roman" w:hAnsi="Times New Roman" w:cs="Times New Roman"/>
        </w:rPr>
        <w:t>），再经硼氢化钾还原生成硒化氢（</w:t>
      </w:r>
      <w:r>
        <w:rPr>
          <w:rFonts w:ascii="Times New Roman" w:hAnsi="Times New Roman" w:cs="Times New Roman"/>
        </w:rPr>
        <w:t>H</w:t>
      </w:r>
      <w:r>
        <w:rPr>
          <w:rFonts w:ascii="Times New Roman" w:hAnsi="Times New Roman" w:cs="Times New Roman"/>
          <w:vertAlign w:val="subscript"/>
        </w:rPr>
        <w:t>2</w:t>
      </w:r>
      <w:r>
        <w:rPr>
          <w:rFonts w:ascii="Times New Roman" w:hAnsi="Times New Roman" w:cs="Times New Roman"/>
        </w:rPr>
        <w:t>Se），由载气（氩气）导入石英原子化器进行原子化分解为原子态硒，在</w:t>
      </w:r>
      <w:r>
        <w:rPr>
          <w:rFonts w:hint="eastAsia" w:ascii="Times New Roman" w:hAnsi="Times New Roman" w:cs="Times New Roman"/>
        </w:rPr>
        <w:t>硒空心阴极灯的发射光激发下，基</w:t>
      </w:r>
      <w:r>
        <w:rPr>
          <w:rFonts w:hint="eastAsia" w:ascii="宋体" w:hAnsi="宋体"/>
        </w:rPr>
        <w:t>态硒原子被激发至高能态，在去活化回到基态时，发射出特征波长的荧光，其荧光强度与试样中硒元素含量成正比，与标准系列比较定量。</w:t>
      </w:r>
    </w:p>
    <w:p w14:paraId="5640E907">
      <w:pPr>
        <w:pStyle w:val="14"/>
        <w:numPr>
          <w:ilvl w:val="0"/>
          <w:numId w:val="2"/>
        </w:numPr>
        <w:outlineLvl w:val="0"/>
        <w:rPr>
          <w:rFonts w:ascii="Times New Roman"/>
        </w:rPr>
      </w:pPr>
      <w:bookmarkStart w:id="35" w:name="_Toc89523154"/>
      <w:bookmarkEnd w:id="35"/>
      <w:bookmarkStart w:id="36" w:name="_Toc89523153"/>
      <w:bookmarkEnd w:id="36"/>
      <w:bookmarkStart w:id="37" w:name="_Toc91448936"/>
      <w:r>
        <w:t>试剂</w:t>
      </w:r>
      <w:r>
        <w:rPr>
          <w:rFonts w:hint="eastAsia"/>
        </w:rPr>
        <w:t>和材料</w:t>
      </w:r>
      <w:bookmarkEnd w:id="37"/>
    </w:p>
    <w:p w14:paraId="133899C5">
      <w:pPr>
        <w:pStyle w:val="9"/>
        <w:rPr>
          <w:rFonts w:eastAsia="黑体"/>
        </w:rPr>
      </w:pPr>
      <w:r>
        <w:rPr>
          <w:rFonts w:hint="eastAsia" w:ascii="黑体" w:hAnsi="黑体" w:eastAsia="黑体" w:cstheme="minorBidi"/>
          <w:kern w:val="2"/>
          <w:szCs w:val="22"/>
        </w:rPr>
        <w:t>警示</w:t>
      </w:r>
      <w:r>
        <w:rPr>
          <w:rFonts w:eastAsia="黑体"/>
        </w:rPr>
        <w:t>——</w:t>
      </w:r>
      <w:r>
        <w:rPr>
          <w:rFonts w:hint="eastAsia" w:eastAsia="黑体"/>
        </w:rPr>
        <w:t>本文件中所使用的硝酸、盐酸、高氯酸等均具有强烈的化学腐蚀性和刺激性，应避免直接接触，相关操作应由具备正规实验室工作经验人员在通风橱中进行。</w:t>
      </w:r>
    </w:p>
    <w:p w14:paraId="490EC1D4">
      <w:pPr>
        <w:pStyle w:val="35"/>
        <w:numPr>
          <w:ilvl w:val="1"/>
          <w:numId w:val="2"/>
        </w:numPr>
        <w:ind w:left="0"/>
        <w:rPr>
          <w:rFonts w:ascii="Times New Roman"/>
        </w:rPr>
      </w:pPr>
      <w:r>
        <w:rPr>
          <w:rFonts w:hint="eastAsia" w:ascii="Times New Roman"/>
        </w:rPr>
        <w:t>水：</w:t>
      </w:r>
      <w:r>
        <w:rPr>
          <w:rFonts w:ascii="Times New Roman"/>
        </w:rPr>
        <w:t>GB/T 6682</w:t>
      </w:r>
      <w:r>
        <w:rPr>
          <w:rFonts w:hint="eastAsia"/>
        </w:rPr>
        <w:t>规定的二级水。</w:t>
      </w:r>
    </w:p>
    <w:p w14:paraId="562EAB85">
      <w:pPr>
        <w:pStyle w:val="35"/>
        <w:numPr>
          <w:ilvl w:val="1"/>
          <w:numId w:val="2"/>
        </w:numPr>
        <w:ind w:left="0"/>
        <w:rPr>
          <w:rFonts w:ascii="Times New Roman"/>
        </w:rPr>
      </w:pPr>
      <w:r>
        <w:t>硝酸（</w:t>
      </w:r>
      <w:r>
        <w:rPr>
          <w:rFonts w:hint="eastAsia" w:ascii="Times New Roman"/>
        </w:rPr>
        <w:t>HNO</w:t>
      </w:r>
      <w:r>
        <w:rPr>
          <w:rFonts w:hint="eastAsia" w:ascii="Times New Roman"/>
          <w:vertAlign w:val="subscript"/>
        </w:rPr>
        <w:t>3</w:t>
      </w:r>
      <w:r>
        <w:t>）：</w:t>
      </w:r>
      <w:r>
        <w:rPr>
          <w:rFonts w:hint="eastAsia" w:ascii="Times New Roman"/>
        </w:rPr>
        <w:t>优级纯</w:t>
      </w:r>
      <w:r>
        <w:rPr>
          <w:rFonts w:hint="eastAsia"/>
        </w:rPr>
        <w:t>。</w:t>
      </w:r>
    </w:p>
    <w:p w14:paraId="5776EE6C">
      <w:pPr>
        <w:pStyle w:val="35"/>
        <w:numPr>
          <w:ilvl w:val="1"/>
          <w:numId w:val="2"/>
        </w:numPr>
        <w:ind w:left="0"/>
        <w:rPr>
          <w:rFonts w:ascii="Times New Roman"/>
        </w:rPr>
      </w:pPr>
      <w:r>
        <w:t>高氯酸（</w:t>
      </w:r>
      <w:r>
        <w:rPr>
          <w:rFonts w:hint="eastAsia" w:ascii="Times New Roman"/>
        </w:rPr>
        <w:t>HClO</w:t>
      </w:r>
      <w:r>
        <w:rPr>
          <w:rFonts w:hint="eastAsia" w:ascii="Times New Roman"/>
          <w:vertAlign w:val="subscript"/>
        </w:rPr>
        <w:t>4</w:t>
      </w:r>
      <w:r>
        <w:t>）：</w:t>
      </w:r>
      <w:r>
        <w:rPr>
          <w:rFonts w:hint="eastAsia" w:ascii="Times New Roman"/>
        </w:rPr>
        <w:t>优级纯</w:t>
      </w:r>
      <w:r>
        <w:rPr>
          <w:rFonts w:hint="eastAsia"/>
        </w:rPr>
        <w:t>。</w:t>
      </w:r>
    </w:p>
    <w:p w14:paraId="08A58EAA">
      <w:pPr>
        <w:pStyle w:val="35"/>
        <w:numPr>
          <w:ilvl w:val="1"/>
          <w:numId w:val="2"/>
        </w:numPr>
        <w:ind w:left="0"/>
        <w:rPr>
          <w:rFonts w:ascii="Times New Roman"/>
        </w:rPr>
      </w:pPr>
      <w:r>
        <w:t>盐酸（</w:t>
      </w:r>
      <w:r>
        <w:rPr>
          <w:rFonts w:hint="eastAsia" w:ascii="Times New Roman"/>
        </w:rPr>
        <w:t>HCl</w:t>
      </w:r>
      <w:r>
        <w:t>）：</w:t>
      </w:r>
      <w:r>
        <w:rPr>
          <w:rFonts w:hint="eastAsia" w:ascii="Times New Roman"/>
        </w:rPr>
        <w:t>优级纯</w:t>
      </w:r>
      <w:r>
        <w:rPr>
          <w:rFonts w:hint="eastAsia"/>
        </w:rPr>
        <w:t>。</w:t>
      </w:r>
    </w:p>
    <w:p w14:paraId="525EB2AC">
      <w:pPr>
        <w:pStyle w:val="35"/>
        <w:numPr>
          <w:ilvl w:val="1"/>
          <w:numId w:val="2"/>
        </w:numPr>
        <w:ind w:left="0"/>
        <w:rPr>
          <w:rFonts w:ascii="Times New Roman"/>
        </w:rPr>
      </w:pPr>
      <w:r>
        <w:rPr>
          <w:rFonts w:hint="eastAsia"/>
        </w:rPr>
        <w:t>硼氢化钾（</w:t>
      </w:r>
      <w:r>
        <w:rPr>
          <w:rFonts w:hint="eastAsia" w:ascii="Times New Roman"/>
        </w:rPr>
        <w:t>KBH</w:t>
      </w:r>
      <w:r>
        <w:rPr>
          <w:rFonts w:hint="eastAsia"/>
          <w:vertAlign w:val="subscript"/>
        </w:rPr>
        <w:t>4</w:t>
      </w:r>
      <w:r>
        <w:rPr>
          <w:rFonts w:hint="eastAsia"/>
        </w:rPr>
        <w:t>）：分析纯</w:t>
      </w:r>
      <w:r>
        <w:t>。</w:t>
      </w:r>
    </w:p>
    <w:p w14:paraId="15F9630D">
      <w:pPr>
        <w:pStyle w:val="35"/>
        <w:numPr>
          <w:ilvl w:val="1"/>
          <w:numId w:val="2"/>
        </w:numPr>
        <w:ind w:left="0"/>
        <w:rPr>
          <w:rFonts w:ascii="Times New Roman"/>
        </w:rPr>
      </w:pPr>
      <w:r>
        <w:t>氢氧化钠</w:t>
      </w:r>
      <w:r>
        <w:rPr>
          <w:rFonts w:hint="eastAsia"/>
        </w:rPr>
        <w:t>（</w:t>
      </w:r>
      <w:r>
        <w:rPr>
          <w:rFonts w:hint="eastAsia" w:ascii="Times New Roman"/>
        </w:rPr>
        <w:t>NaOH</w:t>
      </w:r>
      <w:r>
        <w:rPr>
          <w:rFonts w:hint="eastAsia"/>
        </w:rPr>
        <w:t>）</w:t>
      </w:r>
      <w:r>
        <w:t>：</w:t>
      </w:r>
      <w:r>
        <w:rPr>
          <w:rFonts w:hint="eastAsia" w:ascii="Times New Roman"/>
        </w:rPr>
        <w:t>优级纯</w:t>
      </w:r>
      <w:r>
        <w:t>。</w:t>
      </w:r>
    </w:p>
    <w:p w14:paraId="1B59B926">
      <w:pPr>
        <w:pStyle w:val="35"/>
        <w:numPr>
          <w:ilvl w:val="1"/>
          <w:numId w:val="2"/>
        </w:numPr>
        <w:ind w:left="0"/>
        <w:rPr>
          <w:rFonts w:ascii="Times New Roman"/>
        </w:rPr>
      </w:pPr>
      <w:r>
        <w:t>盐酸</w:t>
      </w:r>
      <w:r>
        <w:rPr>
          <w:rFonts w:hint="eastAsia"/>
        </w:rPr>
        <w:t>溶液</w:t>
      </w:r>
      <w:r>
        <w:t>（</w:t>
      </w:r>
      <w:r>
        <w:rPr>
          <w:rFonts w:ascii="Times New Roman"/>
        </w:rPr>
        <w:t>1+1</w:t>
      </w:r>
      <w:r>
        <w:t>）：</w:t>
      </w:r>
      <w:r>
        <w:rPr>
          <w:rFonts w:ascii="Times New Roman"/>
        </w:rPr>
        <w:t xml:space="preserve">100 </w:t>
      </w:r>
      <w:r>
        <w:rPr>
          <w:rFonts w:hint="eastAsia" w:ascii="Times New Roman"/>
        </w:rPr>
        <w:t>mL</w:t>
      </w:r>
      <w:r>
        <w:t>盐酸（</w:t>
      </w:r>
      <w:r>
        <w:rPr>
          <w:rFonts w:ascii="Times New Roman"/>
        </w:rPr>
        <w:t>5.</w:t>
      </w:r>
      <w:r>
        <w:rPr>
          <w:rFonts w:hint="eastAsia" w:ascii="Times New Roman"/>
        </w:rPr>
        <w:t>4</w:t>
      </w:r>
      <w:r>
        <w:t>）与</w:t>
      </w:r>
      <w:r>
        <w:rPr>
          <w:rFonts w:ascii="Times New Roman"/>
        </w:rPr>
        <w:t xml:space="preserve">100 </w:t>
      </w:r>
      <w:r>
        <w:rPr>
          <w:rFonts w:hint="eastAsia" w:ascii="Times New Roman"/>
        </w:rPr>
        <w:t>mL</w:t>
      </w:r>
      <w:r>
        <w:t>水混匀。</w:t>
      </w:r>
    </w:p>
    <w:p w14:paraId="5C20AEF6">
      <w:pPr>
        <w:pStyle w:val="35"/>
        <w:numPr>
          <w:ilvl w:val="1"/>
          <w:numId w:val="2"/>
        </w:numPr>
        <w:ind w:left="0"/>
        <w:rPr>
          <w:rFonts w:ascii="Times New Roman"/>
        </w:rPr>
      </w:pPr>
      <w:r>
        <w:rPr>
          <w:rFonts w:hint="eastAsia"/>
        </w:rPr>
        <w:t>盐酸溶液（</w:t>
      </w:r>
      <w:r>
        <w:rPr>
          <w:rFonts w:ascii="Times New Roman"/>
        </w:rPr>
        <w:t>1+</w:t>
      </w:r>
      <w:r>
        <w:rPr>
          <w:rFonts w:hint="eastAsia" w:ascii="Times New Roman"/>
        </w:rPr>
        <w:t>9</w:t>
      </w:r>
      <w:r>
        <w:rPr>
          <w:rFonts w:hint="eastAsia"/>
        </w:rPr>
        <w:t>）：</w:t>
      </w:r>
      <w:r>
        <w:rPr>
          <w:rFonts w:hint="eastAsia" w:ascii="Times New Roman"/>
        </w:rPr>
        <w:t>2</w:t>
      </w:r>
      <w:r>
        <w:rPr>
          <w:rFonts w:ascii="Times New Roman"/>
        </w:rPr>
        <w:t xml:space="preserve">00 </w:t>
      </w:r>
      <w:r>
        <w:rPr>
          <w:rFonts w:hint="eastAsia" w:ascii="Times New Roman"/>
        </w:rPr>
        <w:t>mL</w:t>
      </w:r>
      <w:r>
        <w:t>盐酸（</w:t>
      </w:r>
      <w:r>
        <w:rPr>
          <w:rFonts w:ascii="Times New Roman"/>
        </w:rPr>
        <w:t>5.</w:t>
      </w:r>
      <w:r>
        <w:rPr>
          <w:rFonts w:hint="eastAsia" w:ascii="Times New Roman"/>
        </w:rPr>
        <w:t>4</w:t>
      </w:r>
      <w:r>
        <w:t>）与</w:t>
      </w:r>
      <w:r>
        <w:rPr>
          <w:rFonts w:hint="eastAsia" w:ascii="Times New Roman"/>
        </w:rPr>
        <w:t>1 80</w:t>
      </w:r>
      <w:r>
        <w:rPr>
          <w:rFonts w:ascii="Times New Roman"/>
        </w:rPr>
        <w:t xml:space="preserve">0 </w:t>
      </w:r>
      <w:r>
        <w:rPr>
          <w:rFonts w:hint="eastAsia" w:ascii="Times New Roman"/>
        </w:rPr>
        <w:t>mL</w:t>
      </w:r>
      <w:r>
        <w:t>水混匀。</w:t>
      </w:r>
    </w:p>
    <w:p w14:paraId="6CE4EA22">
      <w:pPr>
        <w:pStyle w:val="35"/>
        <w:numPr>
          <w:ilvl w:val="1"/>
          <w:numId w:val="2"/>
        </w:numPr>
        <w:ind w:left="0"/>
        <w:rPr>
          <w:rFonts w:ascii="Times New Roman"/>
        </w:rPr>
      </w:pPr>
      <w:r>
        <w:t>氯化钙溶液（</w:t>
      </w:r>
      <w:r>
        <w:rPr>
          <w:rFonts w:ascii="Times New Roman"/>
        </w:rPr>
        <w:t>0.5 mol/L</w:t>
      </w:r>
      <w:r>
        <w:t>）：称取</w:t>
      </w:r>
      <w:r>
        <w:rPr>
          <w:rFonts w:ascii="Times New Roman"/>
        </w:rPr>
        <w:t>5.55</w:t>
      </w:r>
      <w:r>
        <w:rPr>
          <w:rFonts w:hint="eastAsia" w:ascii="Times New Roman"/>
        </w:rPr>
        <w:t xml:space="preserve"> </w:t>
      </w:r>
      <w:r>
        <w:rPr>
          <w:rFonts w:ascii="Times New Roman"/>
        </w:rPr>
        <w:t>g</w:t>
      </w:r>
      <w:r>
        <w:t>无水氯化钙</w:t>
      </w:r>
      <w:r>
        <w:rPr>
          <w:rFonts w:hint="eastAsia"/>
        </w:rPr>
        <w:t>，加水溶解后稀释至</w:t>
      </w:r>
      <w:r>
        <w:rPr>
          <w:rFonts w:hint="eastAsia" w:ascii="Times New Roman"/>
        </w:rPr>
        <w:t>100 mL</w:t>
      </w:r>
      <w:r>
        <w:t>。</w:t>
      </w:r>
    </w:p>
    <w:p w14:paraId="24F7013B">
      <w:pPr>
        <w:pStyle w:val="35"/>
        <w:numPr>
          <w:ilvl w:val="1"/>
          <w:numId w:val="2"/>
        </w:numPr>
        <w:ind w:left="0"/>
        <w:rPr>
          <w:rFonts w:ascii="Times New Roman"/>
        </w:rPr>
      </w:pPr>
      <w:r>
        <w:rPr>
          <w:rFonts w:hint="eastAsia"/>
        </w:rPr>
        <w:t>磷酸三丁脂</w:t>
      </w:r>
      <w:r>
        <w:rPr>
          <w:rFonts w:hint="eastAsia" w:ascii="Times New Roman"/>
          <w:lang w:val="en-US" w:eastAsia="zh-CN"/>
        </w:rPr>
        <w:t>[</w:t>
      </w:r>
      <w:r>
        <w:rPr>
          <w:rFonts w:ascii="Times New Roman"/>
        </w:rPr>
        <w:t>(C</w:t>
      </w:r>
      <w:r>
        <w:rPr>
          <w:rFonts w:ascii="Times New Roman"/>
          <w:vertAlign w:val="subscript"/>
        </w:rPr>
        <w:t>4</w:t>
      </w:r>
      <w:r>
        <w:rPr>
          <w:rFonts w:ascii="Times New Roman"/>
        </w:rPr>
        <w:t>H</w:t>
      </w:r>
      <w:r>
        <w:rPr>
          <w:rFonts w:ascii="Times New Roman"/>
          <w:vertAlign w:val="subscript"/>
        </w:rPr>
        <w:t>9</w:t>
      </w:r>
      <w:r>
        <w:rPr>
          <w:rFonts w:ascii="Times New Roman"/>
        </w:rPr>
        <w:t>)</w:t>
      </w:r>
      <w:r>
        <w:rPr>
          <w:rFonts w:ascii="Times New Roman"/>
          <w:vertAlign w:val="subscript"/>
        </w:rPr>
        <w:t>3</w:t>
      </w:r>
      <w:r>
        <w:rPr>
          <w:rFonts w:ascii="Times New Roman"/>
        </w:rPr>
        <w:t>PO</w:t>
      </w:r>
      <w:r>
        <w:rPr>
          <w:rFonts w:ascii="Times New Roman"/>
          <w:vertAlign w:val="subscript"/>
        </w:rPr>
        <w:t>4</w:t>
      </w:r>
      <w:r>
        <w:rPr>
          <w:rFonts w:ascii="Times New Roman"/>
          <w:vertAlign w:val="baseline"/>
        </w:rPr>
        <w:t>]</w:t>
      </w:r>
      <w:r>
        <w:t>：</w:t>
      </w:r>
      <w:r>
        <w:rPr>
          <w:rFonts w:hint="eastAsia" w:ascii="Times New Roman"/>
        </w:rPr>
        <w:t>分析纯</w:t>
      </w:r>
      <w:r>
        <w:rPr>
          <w:rFonts w:hint="eastAsia"/>
        </w:rPr>
        <w:t>。</w:t>
      </w:r>
    </w:p>
    <w:p w14:paraId="32F6F70C">
      <w:pPr>
        <w:pStyle w:val="35"/>
        <w:numPr>
          <w:ilvl w:val="1"/>
          <w:numId w:val="2"/>
        </w:numPr>
        <w:ind w:left="0"/>
        <w:rPr>
          <w:rFonts w:ascii="Times New Roman"/>
        </w:rPr>
      </w:pPr>
      <w:r>
        <w:t>硼氢化钾溶液（</w:t>
      </w:r>
      <w:r>
        <w:rPr>
          <w:rFonts w:ascii="Times New Roman"/>
        </w:rPr>
        <w:t>20</w:t>
      </w:r>
      <w:r>
        <w:rPr>
          <w:rFonts w:hint="eastAsia" w:ascii="Times New Roman"/>
        </w:rPr>
        <w:t xml:space="preserve"> </w:t>
      </w:r>
      <w:r>
        <w:rPr>
          <w:rFonts w:ascii="Times New Roman"/>
        </w:rPr>
        <w:t>g/L</w:t>
      </w:r>
      <w:r>
        <w:t>）：称取</w:t>
      </w:r>
      <w:r>
        <w:rPr>
          <w:rFonts w:ascii="Times New Roman"/>
        </w:rPr>
        <w:t>2 g</w:t>
      </w:r>
      <w:r>
        <w:t>氢氧化钠（</w:t>
      </w:r>
      <w:r>
        <w:rPr>
          <w:rFonts w:ascii="Times New Roman"/>
        </w:rPr>
        <w:t>5.</w:t>
      </w:r>
      <w:r>
        <w:rPr>
          <w:rFonts w:hint="eastAsia" w:ascii="Times New Roman"/>
        </w:rPr>
        <w:t>6</w:t>
      </w:r>
      <w:r>
        <w:t>）</w:t>
      </w:r>
      <w:r>
        <w:rPr>
          <w:rFonts w:hint="eastAsia"/>
        </w:rPr>
        <w:t>加水溶解后，再称取</w:t>
      </w:r>
      <w:r>
        <w:rPr>
          <w:rFonts w:ascii="Times New Roman"/>
        </w:rPr>
        <w:t>20 g</w:t>
      </w:r>
      <w:r>
        <w:t>硼氢化钾（</w:t>
      </w:r>
      <w:r>
        <w:rPr>
          <w:rFonts w:ascii="Times New Roman"/>
        </w:rPr>
        <w:t>5.</w:t>
      </w:r>
      <w:r>
        <w:rPr>
          <w:rFonts w:hint="eastAsia" w:ascii="Times New Roman"/>
        </w:rPr>
        <w:t>5</w:t>
      </w:r>
      <w:r>
        <w:t>）</w:t>
      </w:r>
      <w:r>
        <w:rPr>
          <w:rFonts w:hint="eastAsia"/>
        </w:rPr>
        <w:t>加入其中</w:t>
      </w:r>
      <w:r>
        <w:t>，</w:t>
      </w:r>
      <w:r>
        <w:rPr>
          <w:rFonts w:hint="eastAsia"/>
        </w:rPr>
        <w:t>溶解完全后用水稀释至</w:t>
      </w:r>
      <w:r>
        <w:rPr>
          <w:rFonts w:ascii="Times New Roman"/>
        </w:rPr>
        <w:t>1</w:t>
      </w:r>
      <w:r>
        <w:rPr>
          <w:rFonts w:hint="eastAsia" w:ascii="Times New Roman"/>
        </w:rPr>
        <w:t xml:space="preserve"> </w:t>
      </w:r>
      <w:r>
        <w:rPr>
          <w:rFonts w:ascii="Times New Roman"/>
        </w:rPr>
        <w:t xml:space="preserve">000 </w:t>
      </w:r>
      <w:r>
        <w:rPr>
          <w:rFonts w:hint="eastAsia" w:ascii="Times New Roman"/>
        </w:rPr>
        <w:t>mL</w:t>
      </w:r>
      <w:r>
        <w:t>，加入</w:t>
      </w:r>
      <w:r>
        <w:rPr>
          <w:rFonts w:ascii="Times New Roman"/>
        </w:rPr>
        <w:t>5</w:t>
      </w:r>
      <w:r>
        <w:t>滴</w:t>
      </w:r>
      <w:r>
        <w:rPr>
          <w:rFonts w:hint="eastAsia"/>
        </w:rPr>
        <w:t>消泡剂</w:t>
      </w:r>
      <w:r>
        <w:t>磷酸三丁酯</w:t>
      </w:r>
      <w:r>
        <w:rPr>
          <w:rFonts w:hint="eastAsia"/>
        </w:rPr>
        <w:t>后摇</w:t>
      </w:r>
      <w:r>
        <w:t>匀，用时现配。</w:t>
      </w:r>
    </w:p>
    <w:p w14:paraId="47704D31">
      <w:pPr>
        <w:pStyle w:val="35"/>
        <w:numPr>
          <w:ilvl w:val="1"/>
          <w:numId w:val="2"/>
        </w:numPr>
        <w:ind w:left="0"/>
        <w:rPr>
          <w:rFonts w:ascii="Times New Roman"/>
        </w:rPr>
      </w:pPr>
      <w:r>
        <w:rPr>
          <w:rFonts w:hint="eastAsia"/>
        </w:rPr>
        <w:t>硒标准储备溶液</w:t>
      </w:r>
      <w:r>
        <w:rPr>
          <w:rFonts w:hint="default" w:ascii="Times New Roman"/>
        </w:rPr>
        <w:t>（</w:t>
      </w:r>
      <w:r>
        <w:rPr>
          <w:rFonts w:ascii="Times New Roman"/>
        </w:rPr>
        <w:t>1.00 mg</w:t>
      </w:r>
      <w:r>
        <w:rPr>
          <w:rFonts w:hint="eastAsia" w:ascii="Times New Roman"/>
        </w:rPr>
        <w:t>/mL</w:t>
      </w:r>
      <w:r>
        <w:rPr>
          <w:rFonts w:hint="default" w:ascii="Times New Roman"/>
        </w:rPr>
        <w:t>）</w:t>
      </w:r>
      <w:r>
        <w:rPr>
          <w:rFonts w:hint="eastAsia"/>
        </w:rPr>
        <w:t>：购置有证硒标准溶液。或</w:t>
      </w:r>
      <w:r>
        <w:t>称取</w:t>
      </w:r>
      <w:r>
        <w:rPr>
          <w:rFonts w:hint="eastAsia" w:ascii="Times New Roman"/>
        </w:rPr>
        <w:t>1.</w:t>
      </w:r>
      <w:r>
        <w:rPr>
          <w:rFonts w:ascii="Times New Roman"/>
        </w:rPr>
        <w:t>00</w:t>
      </w:r>
      <w:r>
        <w:rPr>
          <w:rFonts w:hint="eastAsia" w:ascii="Times New Roman"/>
        </w:rPr>
        <w:t xml:space="preserve">0 </w:t>
      </w:r>
      <w:r>
        <w:rPr>
          <w:rFonts w:ascii="Times New Roman"/>
        </w:rPr>
        <w:t>0</w:t>
      </w:r>
      <w:r>
        <w:rPr>
          <w:rFonts w:hint="eastAsia" w:ascii="Times New Roman"/>
        </w:rPr>
        <w:t xml:space="preserve"> </w:t>
      </w:r>
      <w:r>
        <w:rPr>
          <w:rFonts w:ascii="Times New Roman"/>
        </w:rPr>
        <w:t>g</w:t>
      </w:r>
      <w:r>
        <w:t>硒粉（</w:t>
      </w:r>
      <w:r>
        <w:rPr>
          <w:rFonts w:ascii="Times New Roman"/>
        </w:rPr>
        <w:t>99.95</w:t>
      </w:r>
      <w:r>
        <w:rPr>
          <w:rFonts w:hint="eastAsia" w:ascii="Times New Roman"/>
        </w:rPr>
        <w:t xml:space="preserve"> </w:t>
      </w:r>
      <w:r>
        <w:rPr>
          <w:rFonts w:ascii="Times New Roman"/>
        </w:rPr>
        <w:t>%</w:t>
      </w:r>
      <w:r>
        <w:t>）于</w:t>
      </w:r>
      <w:r>
        <w:rPr>
          <w:rFonts w:ascii="Times New Roman"/>
        </w:rPr>
        <w:t xml:space="preserve">100 </w:t>
      </w:r>
      <w:r>
        <w:rPr>
          <w:rFonts w:hint="eastAsia" w:ascii="Times New Roman"/>
        </w:rPr>
        <w:t>mL</w:t>
      </w:r>
      <w:r>
        <w:t>烧杯中，加入</w:t>
      </w:r>
      <w:r>
        <w:rPr>
          <w:rFonts w:ascii="Times New Roman"/>
        </w:rPr>
        <w:t xml:space="preserve">10 </w:t>
      </w:r>
      <w:r>
        <w:rPr>
          <w:rFonts w:hint="eastAsia" w:ascii="Times New Roman"/>
        </w:rPr>
        <w:t>mL</w:t>
      </w:r>
      <w:r>
        <w:t>硝酸（</w:t>
      </w:r>
      <w:r>
        <w:rPr>
          <w:rFonts w:ascii="Times New Roman"/>
        </w:rPr>
        <w:t>5.</w:t>
      </w:r>
      <w:r>
        <w:rPr>
          <w:rFonts w:hint="eastAsia" w:ascii="Times New Roman"/>
        </w:rPr>
        <w:t>2</w:t>
      </w:r>
      <w:r>
        <w:t>），于水浴</w:t>
      </w:r>
      <w:r>
        <w:rPr>
          <w:rFonts w:hint="eastAsia"/>
        </w:rPr>
        <w:t>中</w:t>
      </w:r>
      <w:r>
        <w:t>加热溶解，水稀释</w:t>
      </w:r>
      <w:r>
        <w:rPr>
          <w:rFonts w:hint="eastAsia"/>
        </w:rPr>
        <w:t>定容</w:t>
      </w:r>
      <w:r>
        <w:t>至</w:t>
      </w:r>
      <w:r>
        <w:rPr>
          <w:rFonts w:ascii="Times New Roman"/>
        </w:rPr>
        <w:t>1</w:t>
      </w:r>
      <w:r>
        <w:rPr>
          <w:rFonts w:hint="eastAsia" w:ascii="Times New Roman"/>
        </w:rPr>
        <w:t xml:space="preserve"> </w:t>
      </w:r>
      <w:r>
        <w:rPr>
          <w:rFonts w:ascii="Times New Roman"/>
        </w:rPr>
        <w:t>000</w:t>
      </w:r>
      <w:r>
        <w:rPr>
          <w:rFonts w:hint="eastAsia" w:ascii="Times New Roman"/>
        </w:rPr>
        <w:t xml:space="preserve"> mL</w:t>
      </w:r>
      <w:r>
        <w:t>，摇匀</w:t>
      </w:r>
      <w:r>
        <w:rPr>
          <w:rFonts w:hint="eastAsia"/>
        </w:rPr>
        <w:t>。</w:t>
      </w:r>
    </w:p>
    <w:p w14:paraId="3A4E35BB">
      <w:pPr>
        <w:pStyle w:val="35"/>
        <w:numPr>
          <w:ilvl w:val="1"/>
          <w:numId w:val="2"/>
        </w:numPr>
        <w:ind w:left="0"/>
        <w:rPr>
          <w:rFonts w:ascii="Times New Roman"/>
        </w:rPr>
      </w:pPr>
      <w:r>
        <w:rPr>
          <w:rFonts w:hint="eastAsia" w:ascii="Times New Roman"/>
          <w:kern w:val="2"/>
          <w:szCs w:val="24"/>
          <w:lang w:bidi="ar"/>
        </w:rPr>
        <w:t>硒标准使用溶液（0.40</w:t>
      </w:r>
      <w:r>
        <w:rPr>
          <w:rFonts w:ascii="Times New Roman"/>
          <w:kern w:val="2"/>
          <w:szCs w:val="24"/>
          <w:lang w:bidi="ar"/>
        </w:rPr>
        <w:t xml:space="preserve"> µg/mL</w:t>
      </w:r>
      <w:r>
        <w:rPr>
          <w:rFonts w:hint="eastAsia" w:ascii="Times New Roman"/>
          <w:kern w:val="2"/>
          <w:szCs w:val="24"/>
          <w:lang w:bidi="ar"/>
        </w:rPr>
        <w:t>）：由硒标准储备溶液（</w:t>
      </w:r>
      <w:r>
        <w:rPr>
          <w:rFonts w:ascii="Times New Roman"/>
          <w:kern w:val="2"/>
          <w:szCs w:val="24"/>
          <w:lang w:bidi="ar"/>
        </w:rPr>
        <w:t>5.1</w:t>
      </w:r>
      <w:r>
        <w:rPr>
          <w:rFonts w:hint="eastAsia" w:ascii="Times New Roman"/>
          <w:kern w:val="2"/>
          <w:szCs w:val="24"/>
          <w:lang w:bidi="ar"/>
        </w:rPr>
        <w:t xml:space="preserve">2）以20 </w:t>
      </w:r>
      <w:r>
        <w:rPr>
          <w:rFonts w:ascii="Times New Roman"/>
          <w:kern w:val="2"/>
          <w:szCs w:val="24"/>
          <w:lang w:bidi="ar"/>
        </w:rPr>
        <w:t>%盐酸溶液</w:t>
      </w:r>
      <w:r>
        <w:rPr>
          <w:rFonts w:hint="eastAsia" w:ascii="Times New Roman"/>
          <w:kern w:val="2"/>
          <w:szCs w:val="24"/>
          <w:lang w:bidi="ar"/>
        </w:rPr>
        <w:t>为介质逐级稀释。</w:t>
      </w:r>
    </w:p>
    <w:p w14:paraId="6570141C">
      <w:pPr>
        <w:pStyle w:val="14"/>
        <w:numPr>
          <w:ilvl w:val="0"/>
          <w:numId w:val="2"/>
        </w:numPr>
        <w:outlineLvl w:val="0"/>
        <w:rPr>
          <w:rFonts w:ascii="Times New Roman"/>
        </w:rPr>
      </w:pPr>
      <w:bookmarkStart w:id="38" w:name="_Toc89523155"/>
      <w:bookmarkEnd w:id="38"/>
      <w:bookmarkStart w:id="39" w:name="_Toc4252"/>
      <w:bookmarkStart w:id="40" w:name="_Toc91448937"/>
      <w:r>
        <w:t>仪器</w:t>
      </w:r>
      <w:bookmarkEnd w:id="39"/>
      <w:r>
        <w:rPr>
          <w:rFonts w:hint="eastAsia"/>
        </w:rPr>
        <w:t>设备</w:t>
      </w:r>
      <w:bookmarkEnd w:id="40"/>
    </w:p>
    <w:p w14:paraId="17C05376">
      <w:pPr>
        <w:pStyle w:val="35"/>
        <w:numPr>
          <w:ilvl w:val="1"/>
          <w:numId w:val="2"/>
        </w:numPr>
        <w:ind w:left="0"/>
        <w:rPr>
          <w:rFonts w:ascii="Times New Roman" w:hAnsi="宋体" w:cs="宋体"/>
        </w:rPr>
      </w:pPr>
      <w:bookmarkStart w:id="41" w:name="_Toc13407_WPSOffice_Level2"/>
      <w:bookmarkEnd w:id="41"/>
      <w:r>
        <w:t>原子荧光</w:t>
      </w:r>
      <w:r>
        <w:rPr>
          <w:rFonts w:hint="eastAsia"/>
        </w:rPr>
        <w:t>光谱仪，配硒</w:t>
      </w:r>
      <w:r>
        <w:t>空心阴极灯。</w:t>
      </w:r>
    </w:p>
    <w:p w14:paraId="484E8ED0">
      <w:pPr>
        <w:pStyle w:val="35"/>
        <w:numPr>
          <w:ilvl w:val="1"/>
          <w:numId w:val="2"/>
        </w:numPr>
        <w:ind w:left="0"/>
        <w:rPr>
          <w:rFonts w:ascii="Times New Roman" w:hAnsi="宋体" w:cs="宋体"/>
        </w:rPr>
      </w:pPr>
      <w:r>
        <w:rPr>
          <w:rFonts w:hint="eastAsia"/>
        </w:rPr>
        <w:t>控温电热板。</w:t>
      </w:r>
    </w:p>
    <w:p w14:paraId="08C99D34">
      <w:pPr>
        <w:pStyle w:val="35"/>
        <w:numPr>
          <w:ilvl w:val="1"/>
          <w:numId w:val="2"/>
        </w:numPr>
        <w:ind w:left="0"/>
        <w:rPr>
          <w:rFonts w:ascii="Times New Roman"/>
        </w:rPr>
      </w:pPr>
      <w:r>
        <w:rPr>
          <w:rFonts w:hint="eastAsia"/>
        </w:rPr>
        <w:t>分析天平：感量</w:t>
      </w:r>
      <w:r>
        <w:rPr>
          <w:rFonts w:ascii="Times New Roman"/>
        </w:rPr>
        <w:t>0.</w:t>
      </w:r>
      <w:r>
        <w:rPr>
          <w:rFonts w:hint="eastAsia" w:ascii="Times New Roman"/>
        </w:rPr>
        <w:t>0</w:t>
      </w:r>
      <w:r>
        <w:rPr>
          <w:rFonts w:ascii="Times New Roman"/>
        </w:rPr>
        <w:t>1 g</w:t>
      </w:r>
      <w:r>
        <w:rPr>
          <w:rFonts w:hint="eastAsia" w:ascii="Times New Roman"/>
        </w:rPr>
        <w:t>，感量0.1 mg。</w:t>
      </w:r>
    </w:p>
    <w:p w14:paraId="39A08CFD">
      <w:pPr>
        <w:pStyle w:val="35"/>
        <w:numPr>
          <w:ilvl w:val="1"/>
          <w:numId w:val="2"/>
        </w:numPr>
        <w:ind w:left="0"/>
        <w:rPr>
          <w:rFonts w:ascii="Times New Roman"/>
        </w:rPr>
      </w:pPr>
      <w:r>
        <w:rPr>
          <w:rFonts w:hint="eastAsia"/>
        </w:rPr>
        <w:t>离心机：最低转速</w:t>
      </w:r>
      <w:r>
        <w:rPr>
          <w:rFonts w:hint="eastAsia" w:ascii="Times New Roman"/>
        </w:rPr>
        <w:t>4 000 r/min</w:t>
      </w:r>
      <w:r>
        <w:rPr>
          <w:rFonts w:hint="eastAsia"/>
        </w:rPr>
        <w:t>。</w:t>
      </w:r>
    </w:p>
    <w:p w14:paraId="5F4D891F">
      <w:pPr>
        <w:pStyle w:val="35"/>
        <w:numPr>
          <w:ilvl w:val="1"/>
          <w:numId w:val="2"/>
        </w:numPr>
        <w:ind w:left="0"/>
        <w:rPr>
          <w:rFonts w:ascii="Times New Roman"/>
        </w:rPr>
      </w:pPr>
      <w:r>
        <w:t>冷凝</w:t>
      </w:r>
      <w:r>
        <w:rPr>
          <w:rFonts w:hint="eastAsia"/>
        </w:rPr>
        <w:t>回流</w:t>
      </w:r>
      <w:r>
        <w:t>管</w:t>
      </w:r>
      <w:r>
        <w:rPr>
          <w:rFonts w:hint="eastAsia"/>
        </w:rPr>
        <w:t>:长</w:t>
      </w:r>
      <w:r>
        <w:rPr>
          <w:rFonts w:hint="eastAsia" w:ascii="Times New Roman"/>
        </w:rPr>
        <w:t>60 mm</w:t>
      </w:r>
      <w:r>
        <w:rPr>
          <w:rFonts w:hint="eastAsia"/>
        </w:rPr>
        <w:t>，内径</w:t>
      </w:r>
      <w:r>
        <w:rPr>
          <w:rFonts w:hint="eastAsia" w:ascii="Times New Roman"/>
        </w:rPr>
        <w:t>4 mm</w:t>
      </w:r>
      <w:r>
        <w:rPr>
          <w:rFonts w:hint="eastAsia"/>
        </w:rPr>
        <w:t>，外径</w:t>
      </w:r>
      <w:r>
        <w:rPr>
          <w:rFonts w:hint="eastAsia" w:ascii="Times New Roman"/>
        </w:rPr>
        <w:t>6 mm</w:t>
      </w:r>
      <w:r>
        <w:rPr>
          <w:rFonts w:hint="eastAsia"/>
        </w:rPr>
        <w:t>玻璃管。</w:t>
      </w:r>
    </w:p>
    <w:p w14:paraId="3C92417B">
      <w:pPr>
        <w:pStyle w:val="35"/>
        <w:numPr>
          <w:ilvl w:val="1"/>
          <w:numId w:val="2"/>
        </w:numPr>
        <w:ind w:left="0"/>
        <w:rPr>
          <w:rFonts w:ascii="Times New Roman"/>
        </w:rPr>
      </w:pPr>
      <w:r>
        <w:rPr>
          <w:rFonts w:hint="eastAsia"/>
        </w:rPr>
        <w:t>滤纸：</w:t>
      </w:r>
      <w:r>
        <w:rPr>
          <w:rFonts w:ascii="Times New Roman" w:eastAsia="黑体"/>
          <w:i/>
          <w:iCs/>
        </w:rPr>
        <w:t>Φ</w:t>
      </w:r>
      <w:r>
        <w:rPr>
          <w:rFonts w:hint="eastAsia" w:ascii="Times New Roman"/>
        </w:rPr>
        <w:t xml:space="preserve">= </w:t>
      </w:r>
      <w:r>
        <w:rPr>
          <w:rFonts w:ascii="Times New Roman"/>
        </w:rPr>
        <w:t>11</w:t>
      </w:r>
      <w:r>
        <w:rPr>
          <w:rFonts w:hint="eastAsia" w:ascii="Times New Roman"/>
        </w:rPr>
        <w:t xml:space="preserve"> </w:t>
      </w:r>
      <w:r>
        <w:rPr>
          <w:rFonts w:ascii="Times New Roman"/>
        </w:rPr>
        <w:t>cm</w:t>
      </w:r>
      <w:r>
        <w:rPr>
          <w:rFonts w:hint="eastAsia"/>
        </w:rPr>
        <w:t>慢速定性。</w:t>
      </w:r>
    </w:p>
    <w:p w14:paraId="51E6CFA5">
      <w:pPr>
        <w:pStyle w:val="14"/>
        <w:numPr>
          <w:ilvl w:val="0"/>
          <w:numId w:val="2"/>
        </w:numPr>
        <w:outlineLvl w:val="0"/>
        <w:rPr>
          <w:rFonts w:ascii="Times New Roman"/>
          <w:color w:val="000000"/>
        </w:rPr>
      </w:pPr>
      <w:bookmarkStart w:id="42" w:name="_Toc89523156"/>
      <w:bookmarkEnd w:id="42"/>
      <w:bookmarkStart w:id="43" w:name="_Toc1864"/>
      <w:bookmarkStart w:id="44" w:name="_Toc91448938"/>
      <w:r>
        <w:rPr>
          <w:color w:val="000000"/>
        </w:rPr>
        <w:t>样</w:t>
      </w:r>
      <w:bookmarkEnd w:id="43"/>
      <w:r>
        <w:rPr>
          <w:rFonts w:hint="eastAsia"/>
          <w:color w:val="000000"/>
        </w:rPr>
        <w:t>品</w:t>
      </w:r>
      <w:bookmarkEnd w:id="44"/>
    </w:p>
    <w:p w14:paraId="1EB8BD1E">
      <w:pPr>
        <w:pStyle w:val="35"/>
        <w:numPr>
          <w:ilvl w:val="255"/>
          <w:numId w:val="0"/>
        </w:numPr>
        <w:ind w:left="0" w:firstLine="420" w:firstLineChars="200"/>
        <w:rPr>
          <w:rFonts w:ascii="Times New Roman"/>
          <w:color w:val="000000"/>
        </w:rPr>
      </w:pPr>
      <w:r>
        <w:rPr>
          <w:rFonts w:hint="eastAsia"/>
          <w:color w:val="000000"/>
        </w:rPr>
        <w:t>土壤样品按照</w:t>
      </w:r>
      <w:r>
        <w:rPr>
          <w:rFonts w:hint="eastAsia" w:ascii="Times New Roman"/>
        </w:rPr>
        <w:t>NY/T 1121.1</w:t>
      </w:r>
      <w:r>
        <w:rPr>
          <w:rFonts w:hint="eastAsia"/>
          <w:color w:val="000000"/>
        </w:rPr>
        <w:t>采集、处理和储存，在采样和制备中避免交叉污染，</w:t>
      </w:r>
      <w:r>
        <w:rPr>
          <w:color w:val="000000"/>
        </w:rPr>
        <w:t>取</w:t>
      </w:r>
      <w:r>
        <w:rPr>
          <w:rFonts w:hint="eastAsia"/>
          <w:color w:val="000000"/>
        </w:rPr>
        <w:t>代表性</w:t>
      </w:r>
      <w:r>
        <w:rPr>
          <w:color w:val="000000"/>
        </w:rPr>
        <w:t>风干</w:t>
      </w:r>
      <w:r>
        <w:rPr>
          <w:rFonts w:hint="eastAsia"/>
          <w:color w:val="000000"/>
        </w:rPr>
        <w:t>样品</w:t>
      </w:r>
      <w:r>
        <w:rPr>
          <w:color w:val="000000"/>
        </w:rPr>
        <w:t>，</w:t>
      </w:r>
      <w:r>
        <w:rPr>
          <w:rFonts w:hint="eastAsia"/>
          <w:color w:val="000000"/>
        </w:rPr>
        <w:t>加工后</w:t>
      </w:r>
      <w:r>
        <w:rPr>
          <w:color w:val="000000"/>
        </w:rPr>
        <w:t>全部通过</w:t>
      </w:r>
      <w:r>
        <w:rPr>
          <w:rFonts w:hint="eastAsia" w:ascii="Times New Roman"/>
          <w:color w:val="000000"/>
        </w:rPr>
        <w:t>2 m</w:t>
      </w:r>
      <w:r>
        <w:rPr>
          <w:rFonts w:ascii="Times New Roman"/>
          <w:color w:val="000000"/>
        </w:rPr>
        <w:t>m</w:t>
      </w:r>
      <w:r>
        <w:rPr>
          <w:color w:val="000000"/>
        </w:rPr>
        <w:t>试验筛</w:t>
      </w:r>
      <w:r>
        <w:rPr>
          <w:rFonts w:hint="eastAsia"/>
          <w:color w:val="000000"/>
        </w:rPr>
        <w:t>，储存在样品瓶中，作为待测试样</w:t>
      </w:r>
      <w:r>
        <w:rPr>
          <w:color w:val="000000"/>
        </w:rPr>
        <w:t>。</w:t>
      </w:r>
    </w:p>
    <w:p w14:paraId="303BE903">
      <w:pPr>
        <w:pStyle w:val="14"/>
        <w:numPr>
          <w:ilvl w:val="0"/>
          <w:numId w:val="2"/>
        </w:numPr>
        <w:outlineLvl w:val="0"/>
        <w:rPr>
          <w:rFonts w:ascii="Times New Roman"/>
          <w:color w:val="000000"/>
        </w:rPr>
      </w:pPr>
      <w:bookmarkStart w:id="45" w:name="_Toc89523157"/>
      <w:bookmarkEnd w:id="45"/>
      <w:bookmarkStart w:id="46" w:name="_Toc31211"/>
      <w:bookmarkStart w:id="47" w:name="_Toc91448939"/>
      <w:r>
        <w:rPr>
          <w:rFonts w:hint="eastAsia"/>
          <w:color w:val="000000"/>
        </w:rPr>
        <w:t>试验步骤</w:t>
      </w:r>
      <w:bookmarkEnd w:id="46"/>
      <w:bookmarkEnd w:id="47"/>
    </w:p>
    <w:p w14:paraId="0566EC03">
      <w:pPr>
        <w:pStyle w:val="11"/>
        <w:numPr>
          <w:ilvl w:val="1"/>
          <w:numId w:val="2"/>
        </w:numPr>
        <w:ind w:left="0"/>
        <w:outlineLvl w:val="1"/>
        <w:rPr>
          <w:rFonts w:ascii="Times New Roman"/>
        </w:rPr>
      </w:pPr>
      <w:bookmarkStart w:id="48" w:name="_Toc89523160"/>
      <w:bookmarkEnd w:id="48"/>
      <w:bookmarkStart w:id="49" w:name="_Toc22529"/>
      <w:bookmarkEnd w:id="49"/>
      <w:bookmarkStart w:id="50" w:name="_Toc89523159"/>
      <w:bookmarkEnd w:id="50"/>
      <w:r>
        <w:rPr>
          <w:rFonts w:hint="eastAsia"/>
        </w:rPr>
        <w:t>样品溶液的制备</w:t>
      </w:r>
    </w:p>
    <w:p w14:paraId="5878F359">
      <w:pPr>
        <w:pStyle w:val="15"/>
        <w:numPr>
          <w:ilvl w:val="2"/>
          <w:numId w:val="2"/>
        </w:numPr>
        <w:spacing w:before="0" w:beforeLines="0" w:after="0" w:afterLines="0"/>
        <w:rPr>
          <w:rFonts w:ascii="Times New Roman" w:eastAsia="宋体"/>
        </w:rPr>
      </w:pPr>
      <w:r>
        <w:rPr>
          <w:rFonts w:ascii="宋体" w:hAnsi="宋体" w:eastAsia="宋体"/>
        </w:rPr>
        <w:t>称取</w:t>
      </w:r>
      <w:r>
        <w:rPr>
          <w:rFonts w:hint="eastAsia" w:ascii="宋体" w:hAnsi="宋体" w:eastAsia="宋体"/>
        </w:rPr>
        <w:t>样品</w:t>
      </w:r>
      <w:r>
        <w:rPr>
          <w:rFonts w:hint="eastAsia" w:ascii="Times New Roman" w:eastAsia="宋体"/>
        </w:rPr>
        <w:t>20 g</w:t>
      </w:r>
      <w:r>
        <w:rPr>
          <w:rFonts w:hint="eastAsia" w:ascii="宋体" w:hAnsi="宋体" w:eastAsia="宋体"/>
        </w:rPr>
        <w:t>（</w:t>
      </w:r>
      <w:r>
        <w:rPr>
          <w:rFonts w:ascii="宋体" w:hAnsi="宋体" w:eastAsia="宋体"/>
        </w:rPr>
        <w:t>精确至</w:t>
      </w:r>
      <w:r>
        <w:rPr>
          <w:rFonts w:hint="eastAsia" w:ascii="Times New Roman" w:eastAsia="宋体"/>
        </w:rPr>
        <w:t>0.01 g</w:t>
      </w:r>
      <w:r>
        <w:rPr>
          <w:rFonts w:hint="eastAsia" w:ascii="宋体" w:hAnsi="宋体" w:eastAsia="宋体"/>
        </w:rPr>
        <w:t>）</w:t>
      </w:r>
      <w:r>
        <w:rPr>
          <w:rFonts w:ascii="宋体" w:hAnsi="宋体" w:eastAsia="宋体"/>
        </w:rPr>
        <w:t>置于</w:t>
      </w:r>
      <w:r>
        <w:rPr>
          <w:rFonts w:ascii="Times New Roman" w:hAnsi="Times New Roman" w:eastAsia="宋体"/>
        </w:rPr>
        <w:t xml:space="preserve">250 </w:t>
      </w:r>
      <w:r>
        <w:rPr>
          <w:rFonts w:ascii="Times New Roman" w:eastAsia="宋体"/>
        </w:rPr>
        <w:t>m</w:t>
      </w:r>
      <w:r>
        <w:rPr>
          <w:rFonts w:hint="eastAsia" w:ascii="Times New Roman" w:eastAsia="宋体"/>
        </w:rPr>
        <w:t>L</w:t>
      </w:r>
      <w:r>
        <w:rPr>
          <w:rFonts w:ascii="宋体" w:hAnsi="宋体" w:eastAsia="宋体"/>
        </w:rPr>
        <w:t>玻璃</w:t>
      </w:r>
      <w:r>
        <w:rPr>
          <w:rFonts w:hint="eastAsia" w:ascii="宋体" w:hAnsi="宋体" w:eastAsia="宋体"/>
        </w:rPr>
        <w:t>锥形</w:t>
      </w:r>
      <w:r>
        <w:rPr>
          <w:rFonts w:ascii="宋体" w:hAnsi="宋体" w:eastAsia="宋体"/>
        </w:rPr>
        <w:t>瓶中，按土水</w:t>
      </w:r>
      <w:r>
        <w:rPr>
          <w:rFonts w:hint="eastAsia" w:ascii="宋体" w:hAnsi="宋体" w:eastAsia="宋体"/>
        </w:rPr>
        <w:t>质量</w:t>
      </w:r>
      <w:r>
        <w:rPr>
          <w:rFonts w:ascii="宋体" w:hAnsi="宋体" w:eastAsia="宋体"/>
        </w:rPr>
        <w:t>比</w:t>
      </w:r>
      <w:r>
        <w:rPr>
          <w:rFonts w:ascii="Times New Roman" w:eastAsia="宋体"/>
        </w:rPr>
        <w:t>1</w:t>
      </w:r>
      <w:r>
        <w:rPr>
          <w:rFonts w:hint="eastAsia" w:ascii="Times New Roman" w:eastAsia="宋体"/>
        </w:rPr>
        <w:t>:</w:t>
      </w:r>
      <w:r>
        <w:rPr>
          <w:rFonts w:ascii="Times New Roman" w:eastAsia="宋体"/>
        </w:rPr>
        <w:t>2</w:t>
      </w:r>
      <w:r>
        <w:rPr>
          <w:rFonts w:ascii="宋体" w:hAnsi="宋体" w:eastAsia="宋体"/>
        </w:rPr>
        <w:t>的比例</w:t>
      </w:r>
      <w:r>
        <w:rPr>
          <w:rFonts w:hint="eastAsia" w:ascii="宋体" w:hAnsi="宋体" w:eastAsia="宋体"/>
        </w:rPr>
        <w:t>缓慢</w:t>
      </w:r>
      <w:r>
        <w:rPr>
          <w:rFonts w:ascii="宋体" w:hAnsi="宋体" w:eastAsia="宋体"/>
        </w:rPr>
        <w:t>加</w:t>
      </w:r>
      <w:r>
        <w:rPr>
          <w:rFonts w:hint="eastAsia" w:ascii="宋体" w:hAnsi="宋体" w:eastAsia="宋体"/>
        </w:rPr>
        <w:t>入</w:t>
      </w:r>
      <w:r>
        <w:rPr>
          <w:rFonts w:ascii="Times New Roman" w:eastAsia="宋体"/>
        </w:rPr>
        <w:t xml:space="preserve">40 </w:t>
      </w:r>
      <w:r>
        <w:rPr>
          <w:rFonts w:hint="eastAsia" w:ascii="Times New Roman" w:eastAsia="宋体"/>
        </w:rPr>
        <w:t>mL</w:t>
      </w:r>
      <w:r>
        <w:rPr>
          <w:rFonts w:hint="eastAsia" w:ascii="宋体" w:hAnsi="宋体" w:eastAsia="宋体"/>
        </w:rPr>
        <w:t>沸</w:t>
      </w:r>
      <w:r>
        <w:rPr>
          <w:rFonts w:ascii="宋体" w:hAnsi="宋体" w:eastAsia="宋体"/>
        </w:rPr>
        <w:t>水，连接冷凝</w:t>
      </w:r>
      <w:r>
        <w:rPr>
          <w:rFonts w:hint="eastAsia" w:ascii="宋体" w:hAnsi="宋体" w:eastAsia="宋体"/>
        </w:rPr>
        <w:t>回流</w:t>
      </w:r>
      <w:r>
        <w:rPr>
          <w:rFonts w:ascii="宋体" w:hAnsi="宋体" w:eastAsia="宋体"/>
        </w:rPr>
        <w:t>管</w:t>
      </w:r>
      <w:r>
        <w:rPr>
          <w:rFonts w:hint="eastAsia" w:ascii="宋体" w:hAnsi="宋体" w:eastAsia="宋体"/>
        </w:rPr>
        <w:t>（</w:t>
      </w:r>
      <w:r>
        <w:rPr>
          <w:rFonts w:ascii="Times New Roman" w:eastAsia="宋体"/>
        </w:rPr>
        <w:t>6</w:t>
      </w:r>
      <w:r>
        <w:rPr>
          <w:rFonts w:hint="eastAsia" w:ascii="Times New Roman" w:eastAsia="宋体"/>
        </w:rPr>
        <w:t>.</w:t>
      </w:r>
      <w:r>
        <w:rPr>
          <w:rFonts w:ascii="Times New Roman" w:eastAsia="宋体"/>
        </w:rPr>
        <w:t>5</w:t>
      </w:r>
      <w:r>
        <w:rPr>
          <w:rFonts w:hint="eastAsia" w:ascii="宋体" w:hAnsi="宋体" w:eastAsia="宋体"/>
        </w:rPr>
        <w:t>）</w:t>
      </w:r>
      <w:r>
        <w:rPr>
          <w:rFonts w:ascii="宋体" w:hAnsi="宋体" w:eastAsia="宋体"/>
        </w:rPr>
        <w:t>，</w:t>
      </w:r>
      <w:r>
        <w:rPr>
          <w:rFonts w:hint="eastAsia" w:ascii="宋体" w:hAnsi="宋体" w:eastAsia="宋体"/>
        </w:rPr>
        <w:t>加热微</w:t>
      </w:r>
      <w:r>
        <w:rPr>
          <w:rFonts w:ascii="宋体" w:hAnsi="宋体" w:eastAsia="宋体"/>
        </w:rPr>
        <w:t>沸</w:t>
      </w:r>
      <w:r>
        <w:rPr>
          <w:rFonts w:hint="eastAsia" w:ascii="宋体" w:hAnsi="宋体" w:eastAsia="宋体"/>
        </w:rPr>
        <w:t>（建议电热板表面温度</w:t>
      </w:r>
      <w:r>
        <w:rPr>
          <w:rFonts w:ascii="Times New Roman" w:eastAsia="宋体"/>
        </w:rPr>
        <w:t xml:space="preserve">150 </w:t>
      </w:r>
      <w:r>
        <w:rPr>
          <w:rFonts w:hint="eastAsia" w:ascii="Times New Roman" w:hAnsi="Times New Roman" w:eastAsia="宋体"/>
        </w:rPr>
        <w:t>℃±</w:t>
      </w:r>
      <w:r>
        <w:rPr>
          <w:rFonts w:ascii="Times New Roman" w:hAnsi="Times New Roman" w:eastAsia="宋体"/>
        </w:rPr>
        <w:t>5℃</w:t>
      </w:r>
      <w:r>
        <w:rPr>
          <w:rFonts w:hint="eastAsia" w:ascii="宋体" w:hAnsi="宋体" w:eastAsia="宋体"/>
        </w:rPr>
        <w:t>），</w:t>
      </w:r>
      <w:r>
        <w:rPr>
          <w:rFonts w:ascii="宋体" w:hAnsi="宋体" w:eastAsia="宋体"/>
        </w:rPr>
        <w:t>从沸腾时</w:t>
      </w:r>
      <w:r>
        <w:rPr>
          <w:rFonts w:hint="eastAsia" w:ascii="宋体" w:hAnsi="宋体" w:eastAsia="宋体"/>
        </w:rPr>
        <w:t>准确计时</w:t>
      </w:r>
      <w:r>
        <w:rPr>
          <w:rFonts w:hint="eastAsia" w:ascii="Times New Roman" w:eastAsia="宋体"/>
        </w:rPr>
        <w:t>5 min</w:t>
      </w:r>
      <w:r>
        <w:rPr>
          <w:rFonts w:ascii="宋体" w:hAnsi="宋体" w:eastAsia="宋体"/>
        </w:rPr>
        <w:t>，取下，</w:t>
      </w:r>
      <w:r>
        <w:rPr>
          <w:rFonts w:hint="eastAsia" w:ascii="宋体" w:hAnsi="宋体" w:eastAsia="宋体"/>
        </w:rPr>
        <w:t>趁热</w:t>
      </w:r>
      <w:r>
        <w:rPr>
          <w:rFonts w:ascii="宋体" w:hAnsi="宋体" w:eastAsia="宋体"/>
        </w:rPr>
        <w:t>加入</w:t>
      </w:r>
      <w:r>
        <w:rPr>
          <w:rFonts w:ascii="Times New Roman" w:eastAsia="宋体"/>
        </w:rPr>
        <w:t>4</w:t>
      </w:r>
      <w:r>
        <w:rPr>
          <w:rFonts w:ascii="宋体" w:hAnsi="宋体" w:eastAsia="宋体"/>
        </w:rPr>
        <w:t>滴</w:t>
      </w:r>
      <w:r>
        <w:rPr>
          <w:rFonts w:hint="eastAsia" w:ascii="宋体" w:hAnsi="宋体" w:eastAsia="宋体"/>
        </w:rPr>
        <w:t>氯化钙</w:t>
      </w:r>
      <w:r>
        <w:rPr>
          <w:rFonts w:ascii="宋体" w:hAnsi="宋体" w:eastAsia="宋体"/>
        </w:rPr>
        <w:t>溶液（</w:t>
      </w:r>
      <w:r>
        <w:rPr>
          <w:rFonts w:ascii="Times New Roman" w:eastAsia="宋体"/>
        </w:rPr>
        <w:t>5.</w:t>
      </w:r>
      <w:r>
        <w:rPr>
          <w:rFonts w:hint="eastAsia" w:ascii="Times New Roman" w:eastAsia="宋体"/>
        </w:rPr>
        <w:t>9</w:t>
      </w:r>
      <w:r>
        <w:rPr>
          <w:rFonts w:ascii="宋体" w:hAnsi="宋体" w:eastAsia="宋体"/>
        </w:rPr>
        <w:t>），</w:t>
      </w:r>
      <w:r>
        <w:rPr>
          <w:rFonts w:hint="eastAsia" w:ascii="宋体" w:hAnsi="宋体" w:eastAsia="宋体"/>
        </w:rPr>
        <w:t>摇匀，</w:t>
      </w:r>
      <w:r>
        <w:rPr>
          <w:rFonts w:ascii="宋体" w:hAnsi="宋体" w:eastAsia="宋体"/>
        </w:rPr>
        <w:t>移入离心管中，</w:t>
      </w:r>
      <w:r>
        <w:rPr>
          <w:rFonts w:hint="eastAsia" w:ascii="宋体" w:hAnsi="宋体" w:eastAsia="宋体"/>
        </w:rPr>
        <w:t>在</w:t>
      </w:r>
      <w:r>
        <w:rPr>
          <w:rFonts w:ascii="Times New Roman" w:eastAsia="宋体"/>
        </w:rPr>
        <w:t>4</w:t>
      </w:r>
      <w:r>
        <w:rPr>
          <w:rFonts w:hint="eastAsia" w:ascii="Times New Roman" w:hAnsi="宋体" w:eastAsia="宋体"/>
        </w:rPr>
        <w:t xml:space="preserve"> </w:t>
      </w:r>
      <w:r>
        <w:rPr>
          <w:rFonts w:ascii="Times New Roman" w:eastAsia="宋体"/>
        </w:rPr>
        <w:t>000 r/min</w:t>
      </w:r>
      <w:r>
        <w:rPr>
          <w:rFonts w:hint="eastAsia" w:ascii="宋体" w:hAnsi="宋体" w:eastAsia="宋体"/>
        </w:rPr>
        <w:t>下</w:t>
      </w:r>
      <w:r>
        <w:rPr>
          <w:rFonts w:ascii="宋体" w:hAnsi="宋体" w:eastAsia="宋体"/>
        </w:rPr>
        <w:t>离心</w:t>
      </w:r>
      <w:r>
        <w:rPr>
          <w:rFonts w:ascii="Times New Roman" w:eastAsia="宋体"/>
        </w:rPr>
        <w:t>5 min</w:t>
      </w:r>
      <w:r>
        <w:rPr>
          <w:rFonts w:ascii="宋体" w:hAnsi="宋体" w:eastAsia="宋体"/>
        </w:rPr>
        <w:t>，用滤纸</w:t>
      </w:r>
      <w:r>
        <w:rPr>
          <w:rFonts w:hint="eastAsia" w:ascii="宋体" w:hAnsi="宋体" w:eastAsia="宋体"/>
        </w:rPr>
        <w:t>（</w:t>
      </w:r>
      <w:r>
        <w:rPr>
          <w:rFonts w:ascii="Times New Roman" w:eastAsia="宋体"/>
        </w:rPr>
        <w:t>6</w:t>
      </w:r>
      <w:r>
        <w:rPr>
          <w:rFonts w:hint="eastAsia" w:ascii="Times New Roman" w:eastAsia="宋体"/>
        </w:rPr>
        <w:t>.</w:t>
      </w:r>
      <w:r>
        <w:rPr>
          <w:rFonts w:ascii="Times New Roman" w:eastAsia="宋体"/>
        </w:rPr>
        <w:t>6</w:t>
      </w:r>
      <w:r>
        <w:rPr>
          <w:rFonts w:hint="eastAsia" w:ascii="宋体" w:hAnsi="宋体" w:eastAsia="宋体"/>
        </w:rPr>
        <w:t>）</w:t>
      </w:r>
      <w:r>
        <w:rPr>
          <w:rFonts w:ascii="宋体" w:hAnsi="宋体" w:eastAsia="宋体"/>
        </w:rPr>
        <w:t>过滤，滤液承接于</w:t>
      </w:r>
      <w:r>
        <w:rPr>
          <w:rFonts w:ascii="Times New Roman" w:hAnsi="Times New Roman" w:eastAsia="宋体"/>
        </w:rPr>
        <w:t>50 mL</w:t>
      </w:r>
      <w:r>
        <w:rPr>
          <w:rFonts w:hint="eastAsia" w:ascii="宋体" w:hAnsi="宋体" w:eastAsia="宋体"/>
        </w:rPr>
        <w:t>试管</w:t>
      </w:r>
      <w:r>
        <w:rPr>
          <w:rFonts w:ascii="宋体" w:hAnsi="宋体" w:eastAsia="宋体"/>
        </w:rPr>
        <w:t>中。</w:t>
      </w:r>
    </w:p>
    <w:p w14:paraId="331C8961">
      <w:pPr>
        <w:pStyle w:val="15"/>
        <w:numPr>
          <w:ilvl w:val="2"/>
          <w:numId w:val="2"/>
        </w:numPr>
        <w:spacing w:before="0" w:beforeLines="0" w:after="0" w:afterLines="0"/>
        <w:rPr>
          <w:rFonts w:ascii="Times New Roman" w:eastAsia="宋体"/>
        </w:rPr>
      </w:pPr>
      <w:r>
        <w:rPr>
          <w:rFonts w:hint="eastAsia" w:ascii="Times New Roman" w:hAnsi="Times New Roman" w:eastAsia="宋体"/>
        </w:rPr>
        <w:t>分取滤液</w:t>
      </w:r>
      <w:r>
        <w:rPr>
          <w:rFonts w:ascii="Times New Roman" w:eastAsia="宋体"/>
        </w:rPr>
        <w:t>5.00 mL</w:t>
      </w:r>
      <w:r>
        <w:rPr>
          <w:rFonts w:hint="eastAsia" w:ascii="Times New Roman" w:hAnsi="Times New Roman" w:eastAsia="宋体"/>
        </w:rPr>
        <w:t>至</w:t>
      </w:r>
      <w:r>
        <w:rPr>
          <w:rFonts w:ascii="Times New Roman" w:eastAsia="宋体"/>
        </w:rPr>
        <w:t>100 mL</w:t>
      </w:r>
      <w:r>
        <w:rPr>
          <w:rFonts w:hint="eastAsia" w:ascii="Times New Roman" w:hAnsi="Times New Roman" w:eastAsia="宋体"/>
        </w:rPr>
        <w:t>烧杯中</w:t>
      </w:r>
      <w:r>
        <w:rPr>
          <w:rFonts w:ascii="Times New Roman" w:hAnsi="Times New Roman" w:eastAsia="宋体"/>
        </w:rPr>
        <w:t>，加</w:t>
      </w:r>
      <w:r>
        <w:rPr>
          <w:rFonts w:ascii="Times New Roman" w:eastAsia="宋体"/>
        </w:rPr>
        <w:t>2 mL</w:t>
      </w:r>
      <w:r>
        <w:rPr>
          <w:rFonts w:ascii="Times New Roman" w:hAnsi="Times New Roman" w:eastAsia="宋体"/>
        </w:rPr>
        <w:t>硝酸（</w:t>
      </w:r>
      <w:r>
        <w:rPr>
          <w:rFonts w:ascii="Times New Roman" w:eastAsia="宋体"/>
        </w:rPr>
        <w:t>5.2</w:t>
      </w:r>
      <w:r>
        <w:rPr>
          <w:rFonts w:ascii="Times New Roman" w:hAnsi="Times New Roman" w:eastAsia="宋体"/>
        </w:rPr>
        <w:t>），</w:t>
      </w:r>
      <w:r>
        <w:rPr>
          <w:rFonts w:ascii="Times New Roman" w:eastAsia="宋体"/>
        </w:rPr>
        <w:t>4</w:t>
      </w:r>
      <w:r>
        <w:rPr>
          <w:rFonts w:ascii="Times New Roman" w:hAnsi="Times New Roman" w:eastAsia="宋体"/>
        </w:rPr>
        <w:t>滴高氯酸（5</w:t>
      </w:r>
      <w:r>
        <w:rPr>
          <w:rFonts w:ascii="Times New Roman" w:eastAsia="宋体"/>
        </w:rPr>
        <w:t>.3</w:t>
      </w:r>
      <w:r>
        <w:rPr>
          <w:rFonts w:ascii="Times New Roman" w:hAnsi="Times New Roman" w:eastAsia="宋体"/>
        </w:rPr>
        <w:t>），加热至冒</w:t>
      </w:r>
      <w:r>
        <w:rPr>
          <w:rFonts w:hint="eastAsia" w:ascii="Times New Roman" w:hAnsi="Times New Roman" w:eastAsia="宋体"/>
        </w:rPr>
        <w:t>白</w:t>
      </w:r>
      <w:r>
        <w:rPr>
          <w:rFonts w:ascii="Times New Roman" w:hAnsi="Times New Roman" w:eastAsia="宋体"/>
        </w:rPr>
        <w:t>烟</w:t>
      </w:r>
      <w:r>
        <w:rPr>
          <w:rFonts w:hint="eastAsia" w:ascii="Times New Roman" w:hAnsi="Times New Roman" w:eastAsia="宋体"/>
        </w:rPr>
        <w:t>，取下</w:t>
      </w:r>
      <w:r>
        <w:rPr>
          <w:rFonts w:ascii="Times New Roman" w:hAnsi="Times New Roman" w:eastAsia="宋体"/>
        </w:rPr>
        <w:t>加</w:t>
      </w:r>
      <w:r>
        <w:rPr>
          <w:rFonts w:ascii="Times New Roman" w:eastAsia="宋体"/>
        </w:rPr>
        <w:t>4</w:t>
      </w:r>
      <w:r>
        <w:rPr>
          <w:rFonts w:ascii="Times New Roman" w:hAnsi="Times New Roman" w:eastAsia="宋体"/>
        </w:rPr>
        <w:t xml:space="preserve"> </w:t>
      </w:r>
      <w:r>
        <w:rPr>
          <w:rFonts w:ascii="Times New Roman" w:eastAsia="宋体"/>
        </w:rPr>
        <w:t>mL</w:t>
      </w:r>
      <w:r>
        <w:rPr>
          <w:rFonts w:ascii="Times New Roman" w:hAnsi="Times New Roman" w:eastAsia="宋体"/>
        </w:rPr>
        <w:t>盐酸（</w:t>
      </w:r>
      <w:r>
        <w:rPr>
          <w:rFonts w:ascii="Times New Roman" w:eastAsia="宋体"/>
        </w:rPr>
        <w:t>5.7</w:t>
      </w:r>
      <w:r>
        <w:rPr>
          <w:rFonts w:ascii="Times New Roman" w:hAnsi="Times New Roman" w:eastAsia="宋体"/>
        </w:rPr>
        <w:t>），盖表面皿</w:t>
      </w:r>
      <w:r>
        <w:rPr>
          <w:rFonts w:hint="eastAsia" w:ascii="Times New Roman" w:hAnsi="Times New Roman" w:eastAsia="宋体"/>
        </w:rPr>
        <w:t>继续加热，煮沸后立即</w:t>
      </w:r>
      <w:r>
        <w:rPr>
          <w:rFonts w:ascii="Times New Roman" w:hAnsi="Times New Roman" w:eastAsia="宋体"/>
        </w:rPr>
        <w:t>取下，冷却后</w:t>
      </w:r>
      <w:r>
        <w:rPr>
          <w:rFonts w:hint="eastAsia" w:ascii="Times New Roman" w:hAnsi="Times New Roman" w:eastAsia="宋体"/>
        </w:rPr>
        <w:t>转入</w:t>
      </w:r>
      <w:r>
        <w:rPr>
          <w:rFonts w:ascii="Times New Roman" w:hAnsi="Times New Roman" w:eastAsia="宋体"/>
        </w:rPr>
        <w:t>10 mL</w:t>
      </w:r>
      <w:r>
        <w:rPr>
          <w:rFonts w:hint="eastAsia" w:ascii="Times New Roman" w:hAnsi="Times New Roman" w:eastAsia="宋体"/>
        </w:rPr>
        <w:t>刻度比色管</w:t>
      </w:r>
      <w:r>
        <w:rPr>
          <w:rFonts w:ascii="Times New Roman" w:hAnsi="Times New Roman" w:eastAsia="宋体"/>
        </w:rPr>
        <w:t>，</w:t>
      </w:r>
      <w:r>
        <w:rPr>
          <w:rFonts w:hint="eastAsia" w:ascii="Times New Roman" w:hAnsi="Times New Roman" w:eastAsia="宋体"/>
        </w:rPr>
        <w:t>用水稀释定容，</w:t>
      </w:r>
      <w:r>
        <w:rPr>
          <w:rFonts w:ascii="Times New Roman" w:hAnsi="Times New Roman" w:eastAsia="宋体"/>
        </w:rPr>
        <w:t>摇匀待测。</w:t>
      </w:r>
    </w:p>
    <w:p w14:paraId="68CF253A">
      <w:pPr>
        <w:pStyle w:val="9"/>
        <w:rPr>
          <w:rFonts w:ascii="Times New Roman"/>
        </w:rPr>
      </w:pPr>
      <w:bookmarkStart w:id="51" w:name="_Toc11763"/>
      <w:bookmarkEnd w:id="51"/>
      <w:bookmarkStart w:id="52" w:name="_Toc89523161"/>
      <w:bookmarkEnd w:id="52"/>
      <w:r>
        <w:rPr>
          <w:rFonts w:hint="eastAsia" w:ascii="Times New Roman"/>
        </w:rPr>
        <w:t>同时做空白试验。</w:t>
      </w:r>
    </w:p>
    <w:p w14:paraId="6DD41DD9">
      <w:pPr>
        <w:pStyle w:val="11"/>
        <w:numPr>
          <w:ilvl w:val="1"/>
          <w:numId w:val="2"/>
        </w:numPr>
        <w:ind w:left="0"/>
        <w:outlineLvl w:val="1"/>
        <w:rPr>
          <w:rFonts w:ascii="Times New Roman"/>
        </w:rPr>
      </w:pPr>
      <w:r>
        <w:t>校准曲线</w:t>
      </w:r>
      <w:r>
        <w:rPr>
          <w:rFonts w:hint="eastAsia"/>
        </w:rPr>
        <w:t>的配制</w:t>
      </w:r>
    </w:p>
    <w:p w14:paraId="7D8A10BA">
      <w:pPr>
        <w:pStyle w:val="9"/>
        <w:rPr>
          <w:rFonts w:ascii="Times New Roman"/>
          <w:color w:val="0070C0"/>
        </w:rPr>
      </w:pPr>
      <w:r>
        <w:t>分取</w:t>
      </w:r>
      <w:r>
        <w:rPr>
          <w:rFonts w:ascii="Times New Roman"/>
        </w:rPr>
        <w:t xml:space="preserve">0.00 </w:t>
      </w:r>
      <w:r>
        <w:rPr>
          <w:rFonts w:hint="eastAsia" w:ascii="Times New Roman"/>
        </w:rPr>
        <w:t>mL</w:t>
      </w:r>
      <w:r>
        <w:t>、</w:t>
      </w:r>
      <w:r>
        <w:rPr>
          <w:rFonts w:ascii="Times New Roman"/>
        </w:rPr>
        <w:t>0.</w:t>
      </w:r>
      <w:r>
        <w:rPr>
          <w:rFonts w:hint="eastAsia" w:ascii="Times New Roman"/>
        </w:rPr>
        <w:t>25</w:t>
      </w:r>
      <w:r>
        <w:rPr>
          <w:rFonts w:ascii="Times New Roman"/>
        </w:rPr>
        <w:t xml:space="preserve"> </w:t>
      </w:r>
      <w:r>
        <w:rPr>
          <w:rFonts w:hint="eastAsia" w:ascii="Times New Roman"/>
        </w:rPr>
        <w:t>mL</w:t>
      </w:r>
      <w:r>
        <w:t>、</w:t>
      </w:r>
      <w:r>
        <w:rPr>
          <w:rFonts w:ascii="Times New Roman"/>
        </w:rPr>
        <w:t>0.</w:t>
      </w:r>
      <w:r>
        <w:rPr>
          <w:rFonts w:hint="eastAsia" w:ascii="Times New Roman"/>
        </w:rPr>
        <w:t>5</w:t>
      </w:r>
      <w:r>
        <w:rPr>
          <w:rFonts w:ascii="Times New Roman"/>
        </w:rPr>
        <w:t xml:space="preserve">0 </w:t>
      </w:r>
      <w:r>
        <w:rPr>
          <w:rFonts w:hint="eastAsia" w:ascii="Times New Roman"/>
        </w:rPr>
        <w:t>mL</w:t>
      </w:r>
      <w:r>
        <w:t>、</w:t>
      </w:r>
      <w:r>
        <w:rPr>
          <w:rFonts w:hint="eastAsia" w:ascii="Times New Roman"/>
        </w:rPr>
        <w:t>1.0</w:t>
      </w:r>
      <w:r>
        <w:rPr>
          <w:rFonts w:ascii="Times New Roman"/>
        </w:rPr>
        <w:t xml:space="preserve">0 </w:t>
      </w:r>
      <w:r>
        <w:rPr>
          <w:rFonts w:hint="eastAsia" w:ascii="Times New Roman"/>
        </w:rPr>
        <w:t>mL</w:t>
      </w:r>
      <w:r>
        <w:t>、</w:t>
      </w:r>
      <w:r>
        <w:rPr>
          <w:rFonts w:hint="eastAsia" w:ascii="Times New Roman"/>
        </w:rPr>
        <w:t>2.00 mL、3.0</w:t>
      </w:r>
      <w:r>
        <w:rPr>
          <w:rFonts w:ascii="Times New Roman"/>
        </w:rPr>
        <w:t xml:space="preserve">0 </w:t>
      </w:r>
      <w:r>
        <w:rPr>
          <w:rFonts w:hint="eastAsia" w:ascii="Times New Roman"/>
        </w:rPr>
        <w:t>mL</w:t>
      </w:r>
      <w:r>
        <w:rPr>
          <w:rFonts w:ascii="Times New Roman"/>
        </w:rPr>
        <w:t>、</w:t>
      </w:r>
      <w:r>
        <w:rPr>
          <w:rFonts w:hint="eastAsia" w:ascii="Times New Roman"/>
        </w:rPr>
        <w:t>4.00 mL、5</w:t>
      </w:r>
      <w:r>
        <w:rPr>
          <w:rFonts w:ascii="Times New Roman"/>
        </w:rPr>
        <w:t xml:space="preserve">.00 </w:t>
      </w:r>
      <w:r>
        <w:rPr>
          <w:rFonts w:hint="eastAsia" w:ascii="Times New Roman"/>
        </w:rPr>
        <w:t>mL</w:t>
      </w:r>
      <w:r>
        <w:t>、</w:t>
      </w:r>
      <w:r>
        <w:rPr>
          <w:rFonts w:hint="eastAsia" w:ascii="Times New Roman"/>
        </w:rPr>
        <w:t>10</w:t>
      </w:r>
      <w:r>
        <w:rPr>
          <w:rFonts w:ascii="Times New Roman"/>
        </w:rPr>
        <w:t xml:space="preserve">.00 </w:t>
      </w:r>
      <w:r>
        <w:rPr>
          <w:rFonts w:hint="eastAsia" w:ascii="Times New Roman"/>
        </w:rPr>
        <w:t>mL</w:t>
      </w:r>
      <w:r>
        <w:t>硒标准</w:t>
      </w:r>
      <w:r>
        <w:rPr>
          <w:rFonts w:hint="eastAsia"/>
        </w:rPr>
        <w:t>使用</w:t>
      </w:r>
      <w:r>
        <w:t>溶液（</w:t>
      </w:r>
      <w:r>
        <w:rPr>
          <w:rFonts w:ascii="Times New Roman"/>
        </w:rPr>
        <w:t>5.</w:t>
      </w:r>
      <w:r>
        <w:rPr>
          <w:rFonts w:hint="eastAsia" w:ascii="Times New Roman"/>
        </w:rPr>
        <w:t>13</w:t>
      </w:r>
      <w:r>
        <w:t>），分别置于</w:t>
      </w:r>
      <w:r>
        <w:rPr>
          <w:rFonts w:hint="eastAsia"/>
        </w:rPr>
        <w:t>一系列</w:t>
      </w:r>
      <w:r>
        <w:rPr>
          <w:rFonts w:ascii="Times New Roman"/>
        </w:rPr>
        <w:t>100 mL</w:t>
      </w:r>
      <w:r>
        <w:t>容量瓶中，</w:t>
      </w:r>
      <w:r>
        <w:rPr>
          <w:rFonts w:hint="eastAsia"/>
        </w:rPr>
        <w:t>加入</w:t>
      </w:r>
      <w:r>
        <w:rPr>
          <w:rFonts w:ascii="Times New Roman"/>
        </w:rPr>
        <w:t>4</w:t>
      </w:r>
      <w:r>
        <w:rPr>
          <w:rFonts w:hint="eastAsia" w:ascii="Times New Roman"/>
        </w:rPr>
        <w:t>0 mL</w:t>
      </w:r>
      <w:r>
        <w:t>盐酸（</w:t>
      </w:r>
      <w:r>
        <w:rPr>
          <w:rFonts w:ascii="Times New Roman"/>
        </w:rPr>
        <w:t>5.</w:t>
      </w:r>
      <w:r>
        <w:rPr>
          <w:rFonts w:hint="eastAsia" w:ascii="Times New Roman"/>
        </w:rPr>
        <w:t>7</w:t>
      </w:r>
      <w:r>
        <w:t>），水稀释至刻度，摇匀。</w:t>
      </w:r>
      <w:r>
        <w:rPr>
          <w:rFonts w:hint="eastAsia"/>
        </w:rPr>
        <w:t>此标准系列的质量浓度分别为</w:t>
      </w:r>
      <w:r>
        <w:rPr>
          <w:rFonts w:hint="eastAsia" w:ascii="Times New Roman"/>
        </w:rPr>
        <w:t>0.0 ng/mL、1.00 ng/mL、2.00 ng/mL、4.00 ng/mL、8.00 ng/mL、12.0 ng/mL、16.0 ng/mL、20.0 ng/mL和40.0 ng/mL。也可根据被测样品中硒的浓度水平自行确定合适的标准系列浓度范围。</w:t>
      </w:r>
    </w:p>
    <w:p w14:paraId="34B0BC5D">
      <w:pPr>
        <w:pStyle w:val="11"/>
        <w:numPr>
          <w:ilvl w:val="1"/>
          <w:numId w:val="2"/>
        </w:numPr>
        <w:ind w:left="0"/>
        <w:outlineLvl w:val="1"/>
        <w:rPr>
          <w:rFonts w:hAnsi="黑体" w:cs="宋体"/>
        </w:rPr>
      </w:pPr>
      <w:bookmarkStart w:id="53" w:name="_Toc89523162"/>
      <w:bookmarkEnd w:id="53"/>
      <w:r>
        <w:rPr>
          <w:rFonts w:hint="eastAsia"/>
        </w:rPr>
        <w:t>仪器测定</w:t>
      </w:r>
    </w:p>
    <w:p w14:paraId="7B36FAF2">
      <w:pPr>
        <w:pStyle w:val="9"/>
        <w:ind w:firstLine="525" w:firstLineChars="250"/>
      </w:pPr>
      <w:r>
        <w:rPr>
          <w:rFonts w:hint="eastAsia"/>
        </w:rPr>
        <w:t>仪器参考条件：负高压</w:t>
      </w:r>
      <w:r>
        <w:rPr>
          <w:rFonts w:hint="eastAsia" w:ascii="Times New Roman"/>
        </w:rPr>
        <w:t>300 V</w:t>
      </w:r>
      <w:r>
        <w:rPr>
          <w:rFonts w:hint="eastAsia"/>
        </w:rPr>
        <w:t>、灯电流</w:t>
      </w:r>
      <w:r>
        <w:rPr>
          <w:rFonts w:hint="eastAsia" w:ascii="Times New Roman"/>
        </w:rPr>
        <w:t>90 mA</w:t>
      </w:r>
      <w:r>
        <w:rPr>
          <w:rFonts w:hint="eastAsia"/>
        </w:rPr>
        <w:t>、原子化器高度</w:t>
      </w:r>
      <w:r>
        <w:rPr>
          <w:rFonts w:hint="eastAsia" w:ascii="Times New Roman"/>
        </w:rPr>
        <w:t>8 mm</w:t>
      </w:r>
      <w:r>
        <w:rPr>
          <w:rFonts w:hint="eastAsia"/>
        </w:rPr>
        <w:t>、原子化温</w:t>
      </w:r>
      <w:r>
        <w:rPr>
          <w:rFonts w:hint="eastAsia" w:ascii="Times New Roman"/>
        </w:rPr>
        <w:t>度</w:t>
      </w:r>
      <w:r>
        <w:rPr>
          <w:rFonts w:ascii="Times New Roman"/>
        </w:rPr>
        <w:t>200</w:t>
      </w:r>
      <w:r>
        <w:rPr>
          <w:rFonts w:hint="eastAsia" w:ascii="Times New Roman" w:hAnsi="Times New Roman"/>
        </w:rPr>
        <w:t>℃</w:t>
      </w:r>
      <w:r>
        <w:rPr>
          <w:rFonts w:hint="eastAsia" w:hAnsi="宋体"/>
        </w:rPr>
        <w:t>、</w:t>
      </w:r>
      <w:r>
        <w:rPr>
          <w:rFonts w:hint="eastAsia"/>
        </w:rPr>
        <w:t>载气流量</w:t>
      </w:r>
      <w:r>
        <w:rPr>
          <w:rFonts w:hint="eastAsia" w:ascii="Times New Roman"/>
        </w:rPr>
        <w:t>400 mL/min</w:t>
      </w:r>
      <w:r>
        <w:rPr>
          <w:rFonts w:hint="eastAsia"/>
        </w:rPr>
        <w:t>、屏蔽气流速</w:t>
      </w:r>
      <w:r>
        <w:rPr>
          <w:rFonts w:hint="eastAsia" w:ascii="Times New Roman"/>
        </w:rPr>
        <w:t>1</w:t>
      </w:r>
      <w:r>
        <w:rPr>
          <w:rFonts w:ascii="Times New Roman"/>
        </w:rPr>
        <w:t xml:space="preserve"> </w:t>
      </w:r>
      <w:r>
        <w:rPr>
          <w:rFonts w:hint="eastAsia" w:ascii="Times New Roman"/>
        </w:rPr>
        <w:t>000 mL/min</w:t>
      </w:r>
      <w:r>
        <w:rPr>
          <w:rFonts w:hint="eastAsia"/>
        </w:rPr>
        <w:t>，具体根据使用仪器情况调整。</w:t>
      </w:r>
    </w:p>
    <w:p w14:paraId="07461AD7">
      <w:pPr>
        <w:pStyle w:val="9"/>
        <w:ind w:firstLine="525" w:firstLineChars="250"/>
        <w:rPr>
          <w:rFonts w:ascii="Times New Roman"/>
        </w:rPr>
      </w:pPr>
      <w:r>
        <w:rPr>
          <w:rFonts w:hint="eastAsia"/>
        </w:rPr>
        <w:t>以盐酸溶液（</w:t>
      </w:r>
      <w:r>
        <w:rPr>
          <w:rFonts w:ascii="Times New Roman"/>
        </w:rPr>
        <w:t>5</w:t>
      </w:r>
      <w:r>
        <w:rPr>
          <w:rFonts w:hint="eastAsia" w:ascii="Times New Roman"/>
        </w:rPr>
        <w:t>.8</w:t>
      </w:r>
      <w:r>
        <w:rPr>
          <w:rFonts w:hint="eastAsia"/>
        </w:rPr>
        <w:t>）作载流，硼氢化钾溶液（</w:t>
      </w:r>
      <w:r>
        <w:rPr>
          <w:rFonts w:ascii="Times New Roman"/>
        </w:rPr>
        <w:t>5</w:t>
      </w:r>
      <w:r>
        <w:rPr>
          <w:rFonts w:hint="eastAsia" w:ascii="Times New Roman"/>
        </w:rPr>
        <w:t>.11</w:t>
      </w:r>
      <w:r>
        <w:rPr>
          <w:rFonts w:hint="eastAsia"/>
        </w:rPr>
        <w:t>）作还原剂，在原子荧光光谱仪上测定标准系列溶液、空白溶液、试样溶液中硒的荧光强度。</w:t>
      </w:r>
    </w:p>
    <w:p w14:paraId="27806693">
      <w:pPr>
        <w:pStyle w:val="11"/>
        <w:numPr>
          <w:ilvl w:val="1"/>
          <w:numId w:val="2"/>
        </w:numPr>
        <w:ind w:left="0"/>
        <w:outlineLvl w:val="1"/>
        <w:rPr>
          <w:rFonts w:ascii="Times New Roman"/>
        </w:rPr>
      </w:pPr>
      <w:bookmarkStart w:id="54" w:name="_Toc89523163"/>
      <w:bookmarkEnd w:id="54"/>
      <w:r>
        <w:t>校准曲线的绘制</w:t>
      </w:r>
    </w:p>
    <w:p w14:paraId="03EBDF49">
      <w:pPr>
        <w:ind w:firstLine="420" w:firstLineChars="200"/>
        <w:rPr>
          <w:rFonts w:ascii="宋体" w:hAnsi="宋体"/>
          <w:kern w:val="0"/>
        </w:rPr>
      </w:pPr>
      <w:r>
        <w:rPr>
          <w:rFonts w:hint="eastAsia" w:ascii="宋体" w:hAnsi="宋体"/>
        </w:rPr>
        <w:t>以硒质量浓度</w:t>
      </w:r>
      <w:r>
        <w:rPr>
          <w:rFonts w:ascii="宋体" w:hAnsi="宋体"/>
        </w:rPr>
        <w:t>为横坐标，</w:t>
      </w:r>
      <w:r>
        <w:rPr>
          <w:rFonts w:hint="eastAsia" w:ascii="宋体" w:hAnsi="宋体"/>
          <w:kern w:val="0"/>
        </w:rPr>
        <w:t>荧光强度</w:t>
      </w:r>
      <w:r>
        <w:rPr>
          <w:rFonts w:ascii="宋体" w:hAnsi="宋体"/>
        </w:rPr>
        <w:t>为纵坐标，绘制</w:t>
      </w:r>
      <w:r>
        <w:rPr>
          <w:rFonts w:hint="eastAsia" w:ascii="宋体" w:hAnsi="宋体"/>
        </w:rPr>
        <w:t>校准</w:t>
      </w:r>
      <w:r>
        <w:rPr>
          <w:rFonts w:ascii="宋体" w:hAnsi="宋体"/>
        </w:rPr>
        <w:t>曲线。</w:t>
      </w:r>
    </w:p>
    <w:p w14:paraId="0AE1AABF">
      <w:pPr>
        <w:pStyle w:val="14"/>
        <w:numPr>
          <w:ilvl w:val="0"/>
          <w:numId w:val="2"/>
        </w:numPr>
        <w:rPr>
          <w:rFonts w:ascii="Times New Roman"/>
        </w:rPr>
      </w:pPr>
      <w:bookmarkStart w:id="55" w:name="_Toc25773"/>
      <w:bookmarkEnd w:id="55"/>
      <w:r>
        <w:rPr>
          <w:rFonts w:hint="eastAsia" w:ascii="Times New Roman"/>
        </w:rPr>
        <w:t>结果计算</w:t>
      </w:r>
    </w:p>
    <w:p w14:paraId="0E600FD8">
      <w:pPr>
        <w:pStyle w:val="9"/>
        <w:rPr>
          <w:color w:val="000000"/>
          <w:highlight w:val="none"/>
        </w:rPr>
      </w:pPr>
      <w:r>
        <w:rPr>
          <w:rFonts w:hint="eastAsia"/>
        </w:rPr>
        <w:t>计算结果</w:t>
      </w:r>
      <w:r>
        <w:rPr>
          <w:rFonts w:hint="eastAsia"/>
          <w:color w:val="000000"/>
        </w:rPr>
        <w:t>以质量分</w:t>
      </w:r>
      <w:r>
        <w:rPr>
          <w:rFonts w:hint="eastAsia" w:ascii="Times New Roman"/>
          <w:color w:val="000000"/>
        </w:rPr>
        <w:t>数</w:t>
      </w:r>
      <w:r>
        <w:rPr>
          <w:rFonts w:ascii="Times New Roman" w:eastAsia="方正姚体_GBK"/>
          <w:i/>
          <w:color w:val="000000"/>
        </w:rPr>
        <w:t>w</w:t>
      </w:r>
      <w:r>
        <w:rPr>
          <w:rFonts w:hint="eastAsia" w:ascii="Times New Roman"/>
          <w:color w:val="000000"/>
        </w:rPr>
        <w:t>（水溶性</w:t>
      </w:r>
      <w:r>
        <w:rPr>
          <w:rFonts w:ascii="Times New Roman"/>
          <w:color w:val="000000"/>
        </w:rPr>
        <w:t>Se</w:t>
      </w:r>
      <w:r>
        <w:rPr>
          <w:rFonts w:hint="eastAsia" w:ascii="Times New Roman"/>
          <w:color w:val="000000"/>
        </w:rPr>
        <w:t>）</w:t>
      </w:r>
      <w:r>
        <w:rPr>
          <w:rFonts w:hint="eastAsia"/>
          <w:color w:val="000000"/>
        </w:rPr>
        <w:t>计，数值以毫克每千克（</w:t>
      </w:r>
      <w:r>
        <w:rPr>
          <w:rFonts w:ascii="Times New Roman"/>
        </w:rPr>
        <w:t>mg/kg</w:t>
      </w:r>
      <w:r>
        <w:rPr>
          <w:rFonts w:hint="eastAsia"/>
          <w:color w:val="000000"/>
        </w:rPr>
        <w:t>）表示，按式（</w:t>
      </w:r>
      <w:r>
        <w:rPr>
          <w:rFonts w:ascii="Times New Roman"/>
          <w:color w:val="000000"/>
        </w:rPr>
        <w:t>1</w:t>
      </w:r>
      <w:r>
        <w:rPr>
          <w:rFonts w:hint="eastAsia"/>
          <w:color w:val="000000"/>
        </w:rPr>
        <w:t>）计算：</w:t>
      </w:r>
    </w:p>
    <w:p w14:paraId="142160B9">
      <w:pPr>
        <w:pStyle w:val="9"/>
        <w:jc w:val="center"/>
        <w:rPr>
          <w:rFonts w:ascii="Times New Roman"/>
          <w:color w:val="000000"/>
        </w:rPr>
      </w:pPr>
    </w:p>
    <w:p w14:paraId="5F884E54">
      <w:pPr>
        <w:pStyle w:val="9"/>
        <w:ind w:right="210"/>
        <w:jc w:val="center"/>
        <w:rPr>
          <w:rFonts w:hAnsi="宋体"/>
        </w:rPr>
      </w:pPr>
      <w:r>
        <w:fldChar w:fldCharType="begin"/>
      </w:r>
      <w:r>
        <w:instrText xml:space="preserve"> INCLUDEPICTURE  "H:\\</w:instrText>
      </w:r>
      <w:r>
        <w:rPr>
          <w:rFonts w:hint="eastAsia"/>
        </w:rPr>
        <w:instrText xml:space="preserve">我的坚果云</w:instrText>
      </w:r>
      <w:r>
        <w:instrText xml:space="preserve">\\</w:instrText>
      </w:r>
      <w:r>
        <w:rPr>
          <w:rFonts w:hint="eastAsia"/>
        </w:rPr>
        <w:instrText xml:space="preserve">项目申请</w:instrText>
      </w:r>
      <w:r>
        <w:instrText xml:space="preserve">\\AppData\\Local\\Temp\\ksohtml\\wps5B95.tmp.png" \* MERGEFORMATINET </w:instrText>
      </w:r>
      <w:r>
        <w:fldChar w:fldCharType="separate"/>
      </w:r>
      <w:r>
        <w:fldChar w:fldCharType="begin"/>
      </w:r>
      <w:r>
        <w:instrText xml:space="preserve"> INCLUDEPICTURE  "F:\\AppData\\Local\\Temp\\ksohtml\\wps5B95.tmp.png" \* MERGEFORMATINET </w:instrText>
      </w:r>
      <w:r>
        <w:fldChar w:fldCharType="separate"/>
      </w:r>
      <w:r>
        <w:fldChar w:fldCharType="begin"/>
      </w:r>
      <w:r>
        <w:instrText xml:space="preserve"> INCLUDEPICTURE  "F:\\AppData\\Local\\Temp\\ksohtml\\wps5B95.tmp.png" \* MERGEFORMATINET </w:instrText>
      </w:r>
      <w:r>
        <w:fldChar w:fldCharType="separate"/>
      </w:r>
      <w:r>
        <w:fldChar w:fldCharType="begin"/>
      </w:r>
      <w:r>
        <w:instrText xml:space="preserve"> INCLUDEPICTURE  "H:\\</w:instrText>
      </w:r>
      <w:r>
        <w:rPr>
          <w:rFonts w:hint="eastAsia"/>
        </w:rPr>
        <w:instrText xml:space="preserve">我的坚果云</w:instrText>
      </w:r>
      <w:r>
        <w:instrText xml:space="preserve">\\</w:instrText>
      </w:r>
      <w:r>
        <w:rPr>
          <w:rFonts w:hint="eastAsia"/>
        </w:rPr>
        <w:instrText xml:space="preserve">项目申请</w:instrText>
      </w:r>
      <w:r>
        <w:instrText xml:space="preserve">\\2021\\AppData\\Local\\Temp\\ksohtml\\wps5B95.tmp.png" \* MERGEFORMATINET </w:instrText>
      </w:r>
      <w:r>
        <w:fldChar w:fldCharType="separate"/>
      </w:r>
      <w:r>
        <w:fldChar w:fldCharType="end"/>
      </w:r>
      <w:r>
        <w:fldChar w:fldCharType="end"/>
      </w:r>
      <w:r>
        <w:fldChar w:fldCharType="end"/>
      </w:r>
      <w:r>
        <w:fldChar w:fldCharType="end"/>
      </w:r>
      <m:oMath>
        <m:r>
          <m:rPr/>
          <w:rPr>
            <w:rFonts w:ascii="Times New Roman" w:eastAsia="方正姚体_GBK"/>
            <w:color w:val="000000"/>
            <w:highlight w:val="none"/>
          </w:rPr>
          <m:t>w</m:t>
        </m:r>
        <m:d>
          <m:dPr>
            <m:ctrlPr>
              <w:rPr>
                <w:rFonts w:ascii="Times New Roman" w:hAnsi="Cambria Math" w:eastAsia="方正姚体_GBK"/>
                <w:i/>
                <w:color w:val="000000"/>
                <w:highlight w:val="none"/>
              </w:rPr>
            </m:ctrlPr>
          </m:dPr>
          <m:e>
            <m:r>
              <m:rPr>
                <m:sty m:val="p"/>
              </m:rPr>
              <w:rPr>
                <w:rFonts w:hint="eastAsia" w:ascii="Cambria Math" w:hAnsi="Cambria Math"/>
                <w:color w:val="000000"/>
                <w:highlight w:val="none"/>
              </w:rPr>
              <m:t>水溶性</m:t>
            </m:r>
            <m:r>
              <m:rPr>
                <m:sty m:val="p"/>
              </m:rPr>
              <w:rPr>
                <w:rFonts w:ascii="Cambria Math" w:hAnsi="Cambria Math"/>
                <w:color w:val="000000"/>
                <w:highlight w:val="none"/>
              </w:rPr>
              <m:t>Se</m:t>
            </m:r>
            <m:ctrlPr>
              <w:rPr>
                <w:rFonts w:ascii="Times New Roman" w:hAnsi="Cambria Math" w:eastAsia="方正姚体_GBK"/>
                <w:i/>
                <w:color w:val="000000"/>
                <w:highlight w:val="none"/>
              </w:rPr>
            </m:ctrlPr>
          </m:e>
        </m:d>
        <m:r>
          <m:rPr/>
          <w:rPr>
            <w:rFonts w:ascii="Cambria Math" w:hAnsi="Cambria Math"/>
            <w:color w:val="000000"/>
            <w:highlight w:val="none"/>
          </w:rPr>
          <m:t>=</m:t>
        </m:r>
        <m:f>
          <m:fPr>
            <m:ctrlPr>
              <w:rPr>
                <w:rFonts w:ascii="Cambria Math" w:hAnsi="Cambria Math"/>
                <w:i/>
                <w:color w:val="000000"/>
                <w:highlight w:val="none"/>
              </w:rPr>
            </m:ctrlPr>
          </m:fPr>
          <m:num>
            <m:d>
              <m:dPr>
                <m:ctrlPr>
                  <w:rPr>
                    <w:rFonts w:ascii="Cambria Math" w:hAnsi="Cambria Math"/>
                    <w:i/>
                    <w:color w:val="000000"/>
                    <w:highlight w:val="none"/>
                  </w:rPr>
                </m:ctrlPr>
              </m:dPr>
              <m:e>
                <m:sSub>
                  <m:sSubPr>
                    <m:ctrlPr>
                      <w:rPr>
                        <w:rFonts w:ascii="Cambria Math" w:hAnsi="Cambria Math"/>
                        <w:i/>
                        <w:color w:val="000000"/>
                        <w:highlight w:val="none"/>
                      </w:rPr>
                    </m:ctrlPr>
                  </m:sSubPr>
                  <m:e>
                    <m:r>
                      <m:rPr/>
                      <w:rPr>
                        <w:rFonts w:ascii="Cambria Math" w:hAnsi="Cambria Math"/>
                        <w:color w:val="000000"/>
                        <w:highlight w:val="none"/>
                      </w:rPr>
                      <m:t>ρ</m:t>
                    </m:r>
                    <m:ctrlPr>
                      <w:rPr>
                        <w:rFonts w:ascii="Cambria Math" w:hAnsi="Cambria Math"/>
                        <w:i/>
                        <w:color w:val="000000"/>
                        <w:highlight w:val="none"/>
                      </w:rPr>
                    </m:ctrlPr>
                  </m:e>
                  <m:sub>
                    <m:r>
                      <m:rPr/>
                      <w:rPr>
                        <w:rFonts w:ascii="Cambria Math" w:hAnsi="Cambria Math"/>
                        <w:color w:val="000000"/>
                        <w:highlight w:val="none"/>
                      </w:rPr>
                      <m:t>1</m:t>
                    </m:r>
                    <m:ctrlPr>
                      <w:rPr>
                        <w:rFonts w:ascii="Cambria Math" w:hAnsi="Cambria Math"/>
                        <w:i/>
                        <w:color w:val="000000"/>
                        <w:highlight w:val="none"/>
                      </w:rPr>
                    </m:ctrlPr>
                  </m:sub>
                </m:sSub>
                <m:r>
                  <m:rPr/>
                  <w:rPr>
                    <w:rFonts w:ascii="Cambria Math" w:hAnsi="Cambria Math"/>
                    <w:color w:val="000000"/>
                    <w:highlight w:val="none"/>
                  </w:rPr>
                  <m:t>−</m:t>
                </m:r>
                <m:sSub>
                  <m:sSubPr>
                    <m:ctrlPr>
                      <w:rPr>
                        <w:rFonts w:ascii="Cambria Math" w:hAnsi="Cambria Math"/>
                        <w:i/>
                        <w:color w:val="000000"/>
                        <w:highlight w:val="none"/>
                      </w:rPr>
                    </m:ctrlPr>
                  </m:sSubPr>
                  <m:e>
                    <m:r>
                      <m:rPr/>
                      <w:rPr>
                        <w:rFonts w:ascii="Cambria Math" w:hAnsi="Cambria Math"/>
                        <w:color w:val="000000"/>
                        <w:highlight w:val="none"/>
                      </w:rPr>
                      <m:t>ρ</m:t>
                    </m:r>
                    <m:ctrlPr>
                      <w:rPr>
                        <w:rFonts w:ascii="Cambria Math" w:hAnsi="Cambria Math"/>
                        <w:i/>
                        <w:color w:val="000000"/>
                        <w:highlight w:val="none"/>
                      </w:rPr>
                    </m:ctrlPr>
                  </m:e>
                  <m:sub>
                    <m:r>
                      <m:rPr/>
                      <w:rPr>
                        <w:rFonts w:ascii="Cambria Math" w:hAnsi="Cambria Math"/>
                        <w:color w:val="000000"/>
                        <w:highlight w:val="none"/>
                      </w:rPr>
                      <m:t>0</m:t>
                    </m:r>
                    <m:ctrlPr>
                      <w:rPr>
                        <w:rFonts w:ascii="Cambria Math" w:hAnsi="Cambria Math"/>
                        <w:i/>
                        <w:color w:val="000000"/>
                        <w:highlight w:val="none"/>
                      </w:rPr>
                    </m:ctrlPr>
                  </m:sub>
                </m:sSub>
                <m:ctrlPr>
                  <w:rPr>
                    <w:rFonts w:ascii="Cambria Math" w:hAnsi="Cambria Math"/>
                    <w:i/>
                    <w:color w:val="000000"/>
                    <w:highlight w:val="none"/>
                  </w:rPr>
                </m:ctrlPr>
              </m:e>
            </m:d>
            <m:r>
              <m:rPr/>
              <w:rPr>
                <w:rFonts w:ascii="Cambria Math" w:hAnsi="Cambria Math"/>
                <w:color w:val="000000"/>
                <w:highlight w:val="none"/>
              </w:rPr>
              <m:t>×10×40</m:t>
            </m:r>
            <m:ctrlPr>
              <w:rPr>
                <w:rFonts w:ascii="Cambria Math" w:hAnsi="Cambria Math"/>
                <w:i/>
                <w:color w:val="000000"/>
                <w:highlight w:val="none"/>
              </w:rPr>
            </m:ctrlPr>
          </m:num>
          <m:den>
            <m:r>
              <m:rPr/>
              <w:rPr>
                <w:rFonts w:ascii="Cambria Math" w:hAnsi="Cambria Math"/>
                <w:color w:val="000000"/>
                <w:highlight w:val="none"/>
              </w:rPr>
              <m:t>m</m:t>
            </m:r>
            <m:r>
              <m:rPr/>
              <w:rPr>
                <w:rFonts w:ascii="Cambria Math" w:hAnsi="Cambria Math" w:cs="Arial"/>
                <w:color w:val="000000"/>
                <w:highlight w:val="none"/>
              </w:rPr>
              <m:t>×</m:t>
            </m:r>
            <m:r>
              <m:rPr/>
              <w:rPr>
                <w:rFonts w:ascii="Cambria Math" w:hAnsi="Cambria Math"/>
                <w:color w:val="000000"/>
                <w:highlight w:val="none"/>
              </w:rPr>
              <m:t>5</m:t>
            </m:r>
            <m:ctrlPr>
              <w:rPr>
                <w:rFonts w:ascii="Cambria Math" w:hAnsi="Cambria Math"/>
                <w:i/>
                <w:color w:val="000000"/>
                <w:highlight w:val="none"/>
              </w:rPr>
            </m:ctrlPr>
          </m:den>
        </m:f>
        <m:r>
          <m:rPr/>
          <w:rPr>
            <w:rFonts w:ascii="Cambria Math" w:hAnsi="Cambria Math"/>
            <w:color w:val="000000"/>
            <w:highlight w:val="none"/>
          </w:rPr>
          <m:t>×</m:t>
        </m:r>
        <m:sSup>
          <m:sSupPr>
            <m:ctrlPr>
              <w:rPr>
                <w:rFonts w:ascii="Cambria Math" w:hAnsi="Cambria Math"/>
                <w:i/>
                <w:color w:val="000000"/>
                <w:highlight w:val="none"/>
              </w:rPr>
            </m:ctrlPr>
          </m:sSupPr>
          <m:e>
            <m:r>
              <m:rPr/>
              <w:rPr>
                <w:rFonts w:ascii="Cambria Math" w:hAnsi="Cambria Math"/>
                <w:color w:val="000000"/>
                <w:highlight w:val="none"/>
              </w:rPr>
              <m:t>10</m:t>
            </m:r>
            <m:ctrlPr>
              <w:rPr>
                <w:rFonts w:ascii="Cambria Math" w:hAnsi="Cambria Math"/>
                <w:i/>
                <w:color w:val="000000"/>
                <w:highlight w:val="none"/>
              </w:rPr>
            </m:ctrlPr>
          </m:e>
          <m:sup>
            <m:r>
              <m:rPr/>
              <w:rPr>
                <w:rFonts w:ascii="Cambria Math" w:hAnsi="Cambria Math"/>
                <w:color w:val="000000"/>
                <w:highlight w:val="none"/>
              </w:rPr>
              <m:t>−3</m:t>
            </m:r>
            <m:ctrlPr>
              <w:rPr>
                <w:rFonts w:ascii="Cambria Math" w:hAnsi="Cambria Math"/>
                <w:i/>
                <w:color w:val="000000"/>
                <w:highlight w:val="none"/>
              </w:rPr>
            </m:ctrlPr>
          </m:sup>
        </m:sSup>
      </m:oMath>
      <w:r>
        <w:rPr>
          <w:rFonts w:hint="eastAsia" w:hAnsi="宋体"/>
        </w:rPr>
        <w:t>……………………………（</w:t>
      </w:r>
      <w:r>
        <w:t>1</w:t>
      </w:r>
      <w:r>
        <w:rPr>
          <w:rFonts w:hint="eastAsia" w:hAnsi="宋体"/>
        </w:rPr>
        <w:t>）</w:t>
      </w:r>
    </w:p>
    <w:p w14:paraId="0B31E468">
      <w:pPr>
        <w:autoSpaceDE w:val="0"/>
        <w:autoSpaceDN w:val="0"/>
        <w:adjustRightInd w:val="0"/>
        <w:ind w:firstLine="420" w:firstLineChars="200"/>
        <w:jc w:val="left"/>
        <w:rPr>
          <w:rFonts w:ascii="宋体" w:hAnsi="宋体" w:cs="黑体"/>
          <w:kern w:val="0"/>
        </w:rPr>
      </w:pPr>
      <w:r>
        <w:rPr>
          <w:rFonts w:hint="eastAsia" w:ascii="宋体" w:hAnsi="宋体" w:cs="黑体"/>
          <w:kern w:val="0"/>
        </w:rPr>
        <w:t>式中：</w:t>
      </w:r>
    </w:p>
    <w:p w14:paraId="14140EE0">
      <w:pPr>
        <w:autoSpaceDE w:val="0"/>
        <w:autoSpaceDN w:val="0"/>
        <w:adjustRightInd w:val="0"/>
        <w:ind w:firstLine="420" w:firstLineChars="200"/>
        <w:jc w:val="left"/>
        <w:rPr>
          <w:rFonts w:ascii="Times New Roman" w:hAnsi="Times New Roman" w:cs="Times New Roman"/>
          <w:i/>
          <w:kern w:val="0"/>
        </w:rPr>
      </w:pPr>
      <w:r>
        <w:rPr>
          <w:rFonts w:ascii="Times New Roman" w:hAnsi="Times New Roman" w:eastAsia="方正姚体_GBK" w:cs="Times New Roman"/>
          <w:i/>
          <w:color w:val="000000"/>
        </w:rPr>
        <w:t>w</w:t>
      </w:r>
      <w:r>
        <w:rPr>
          <w:rFonts w:hint="eastAsia" w:ascii="Times New Roman" w:hAnsi="Times New Roman" w:cs="Times New Roman"/>
          <w:color w:val="000000"/>
        </w:rPr>
        <w:t>（水溶性</w:t>
      </w:r>
      <w:r>
        <w:rPr>
          <w:rFonts w:ascii="Times New Roman" w:hAnsi="Times New Roman" w:cs="Times New Roman"/>
          <w:color w:val="000000"/>
        </w:rPr>
        <w:t>Se</w:t>
      </w:r>
      <w:r>
        <w:rPr>
          <w:rFonts w:hint="eastAsia" w:ascii="Times New Roman" w:hAnsi="Times New Roman" w:cs="Times New Roman"/>
          <w:color w:val="000000"/>
        </w:rPr>
        <w:t>）</w:t>
      </w:r>
      <w:r>
        <w:rPr>
          <w:rFonts w:ascii="Times New Roman" w:hAnsi="Times New Roman" w:cs="Times New Roman"/>
        </w:rPr>
        <w:t>——</w:t>
      </w:r>
      <w:r>
        <w:rPr>
          <w:rFonts w:hint="eastAsia" w:ascii="Times New Roman" w:hAnsi="Times New Roman" w:cs="Times New Roman"/>
          <w:color w:val="000000"/>
        </w:rPr>
        <w:t>水溶性</w:t>
      </w:r>
      <w:r>
        <w:rPr>
          <w:rFonts w:ascii="Times New Roman" w:hAnsi="Times New Roman" w:cs="Times New Roman"/>
          <w:color w:val="000000"/>
        </w:rPr>
        <w:t>Se</w:t>
      </w:r>
      <w:r>
        <w:rPr>
          <w:rFonts w:ascii="Times New Roman" w:hAnsi="Times New Roman" w:cs="Times New Roman"/>
        </w:rPr>
        <w:t>质量分数的数值</w:t>
      </w:r>
      <w:r>
        <w:rPr>
          <w:rFonts w:hint="eastAsia" w:ascii="Times New Roman" w:hAnsi="Times New Roman" w:cs="Times New Roman"/>
        </w:rPr>
        <w:t>，单位为</w:t>
      </w:r>
      <w:r>
        <w:rPr>
          <w:rFonts w:hint="eastAsia" w:ascii="Times New Roman" w:hAnsi="Times New Roman" w:cs="Times New Roman"/>
          <w:color w:val="000000"/>
        </w:rPr>
        <w:t>毫克每千克（</w:t>
      </w:r>
      <w:r>
        <w:rPr>
          <w:rFonts w:ascii="Times New Roman" w:hAnsi="Times New Roman" w:eastAsia="宋体" w:cs="Times New Roman"/>
        </w:rPr>
        <w:t>mg/kg</w:t>
      </w:r>
      <w:r>
        <w:rPr>
          <w:rFonts w:hint="eastAsia" w:ascii="Times New Roman" w:hAnsi="Times New Roman" w:cs="Times New Roman"/>
          <w:color w:val="000000"/>
        </w:rPr>
        <w:t>）</w:t>
      </w:r>
      <w:r>
        <w:rPr>
          <w:rFonts w:hint="eastAsia" w:ascii="Times New Roman" w:hAnsi="Times New Roman" w:cs="Times New Roman"/>
        </w:rPr>
        <w:t>；</w:t>
      </w:r>
    </w:p>
    <w:p w14:paraId="608B577A">
      <w:pPr>
        <w:autoSpaceDE w:val="0"/>
        <w:autoSpaceDN w:val="0"/>
        <w:adjustRightInd w:val="0"/>
        <w:ind w:firstLine="420" w:firstLineChars="200"/>
        <w:jc w:val="left"/>
        <w:rPr>
          <w:rFonts w:ascii="Times New Roman" w:hAnsi="Times New Roman" w:cs="Times New Roman"/>
          <w:kern w:val="0"/>
        </w:rPr>
      </w:pPr>
      <w:r>
        <w:rPr>
          <w:rFonts w:ascii="Times New Roman" w:hAnsi="Times New Roman" w:cs="Times New Roman"/>
          <w:i/>
          <w:kern w:val="0"/>
        </w:rPr>
        <w:t>ρ</w:t>
      </w:r>
      <w:r>
        <w:rPr>
          <w:rFonts w:ascii="Times New Roman" w:hAnsi="Times New Roman" w:cs="Times New Roman"/>
          <w:kern w:val="0"/>
          <w:vertAlign w:val="subscript"/>
        </w:rPr>
        <w:t>1</w:t>
      </w:r>
      <w:r>
        <w:rPr>
          <w:rFonts w:ascii="Times New Roman" w:hAnsi="Times New Roman" w:cs="Times New Roman"/>
        </w:rPr>
        <w:t>——</w:t>
      </w:r>
      <w:r>
        <w:rPr>
          <w:rFonts w:hint="eastAsia" w:ascii="Times New Roman" w:hAnsi="Times New Roman" w:cs="Times New Roman"/>
          <w:kern w:val="0"/>
        </w:rPr>
        <w:t>从校准曲线上查得测定样品溶液中硒</w:t>
      </w:r>
      <w:r>
        <w:rPr>
          <w:rFonts w:ascii="Times New Roman" w:hAnsi="Times New Roman" w:cs="Times New Roman"/>
        </w:rPr>
        <w:t>的</w:t>
      </w:r>
      <w:r>
        <w:rPr>
          <w:rFonts w:hint="eastAsia" w:ascii="Times New Roman" w:hAnsi="Times New Roman" w:cs="Times New Roman"/>
        </w:rPr>
        <w:t>质量浓度的数值</w:t>
      </w:r>
      <w:r>
        <w:rPr>
          <w:rFonts w:hint="eastAsia" w:ascii="Times New Roman" w:hAnsi="Times New Roman" w:cs="Times New Roman"/>
          <w:kern w:val="0"/>
        </w:rPr>
        <w:t>，单位为纳克</w:t>
      </w:r>
      <w:r>
        <w:rPr>
          <w:rFonts w:hint="eastAsia" w:ascii="Times New Roman" w:hAnsi="Times New Roman" w:cs="Times New Roman"/>
        </w:rPr>
        <w:t>每毫升（</w:t>
      </w:r>
      <w:r>
        <w:rPr>
          <w:rFonts w:ascii="Times New Roman" w:hAnsi="Times New Roman" w:cs="Times New Roman"/>
        </w:rPr>
        <w:t>ng/mL</w:t>
      </w:r>
      <w:r>
        <w:rPr>
          <w:rFonts w:hint="eastAsia" w:ascii="Times New Roman" w:hAnsi="Times New Roman" w:cs="Times New Roman"/>
        </w:rPr>
        <w:t>）</w:t>
      </w:r>
      <w:r>
        <w:rPr>
          <w:rFonts w:hint="eastAsia" w:ascii="Times New Roman" w:hAnsi="Times New Roman" w:cs="Times New Roman"/>
          <w:kern w:val="0"/>
        </w:rPr>
        <w:t>；</w:t>
      </w:r>
    </w:p>
    <w:p w14:paraId="5CA7D4AF">
      <w:pPr>
        <w:autoSpaceDE w:val="0"/>
        <w:autoSpaceDN w:val="0"/>
        <w:adjustRightInd w:val="0"/>
        <w:ind w:firstLine="420" w:firstLineChars="200"/>
        <w:jc w:val="left"/>
        <w:rPr>
          <w:rFonts w:ascii="Times New Roman" w:hAnsi="Times New Roman" w:cs="Times New Roman"/>
          <w:kern w:val="0"/>
        </w:rPr>
      </w:pPr>
      <w:r>
        <w:rPr>
          <w:rFonts w:ascii="Times New Roman" w:hAnsi="Times New Roman" w:cs="Times New Roman"/>
          <w:i/>
          <w:kern w:val="0"/>
        </w:rPr>
        <w:t>ρ</w:t>
      </w:r>
      <w:r>
        <w:rPr>
          <w:rFonts w:ascii="Times New Roman" w:hAnsi="Times New Roman" w:cs="Times New Roman"/>
          <w:kern w:val="0"/>
          <w:vertAlign w:val="subscript"/>
        </w:rPr>
        <w:t>0</w:t>
      </w:r>
      <w:r>
        <w:rPr>
          <w:rFonts w:ascii="Times New Roman" w:hAnsi="Times New Roman" w:cs="Times New Roman"/>
        </w:rPr>
        <w:t>——</w:t>
      </w:r>
      <w:r>
        <w:rPr>
          <w:rFonts w:hint="eastAsia" w:ascii="Times New Roman" w:hAnsi="Times New Roman" w:cs="Times New Roman"/>
          <w:kern w:val="0"/>
        </w:rPr>
        <w:t>从校准曲线上查得空白溶液中硒</w:t>
      </w:r>
      <w:r>
        <w:rPr>
          <w:rFonts w:ascii="Times New Roman" w:hAnsi="Times New Roman" w:cs="Times New Roman"/>
        </w:rPr>
        <w:t>的</w:t>
      </w:r>
      <w:r>
        <w:rPr>
          <w:rFonts w:hint="eastAsia" w:ascii="Times New Roman" w:hAnsi="Times New Roman" w:cs="Times New Roman"/>
        </w:rPr>
        <w:t>质量浓度的数值</w:t>
      </w:r>
      <w:r>
        <w:rPr>
          <w:rFonts w:hint="eastAsia" w:ascii="Times New Roman" w:hAnsi="Times New Roman" w:cs="Times New Roman"/>
          <w:kern w:val="0"/>
        </w:rPr>
        <w:t>，单位为纳克</w:t>
      </w:r>
      <w:r>
        <w:rPr>
          <w:rFonts w:hint="eastAsia" w:ascii="Times New Roman" w:hAnsi="Times New Roman" w:cs="Times New Roman"/>
        </w:rPr>
        <w:t>每毫升（</w:t>
      </w:r>
      <w:r>
        <w:rPr>
          <w:rFonts w:ascii="Times New Roman" w:hAnsi="Times New Roman" w:cs="Times New Roman"/>
        </w:rPr>
        <w:t>ng/mL</w:t>
      </w:r>
      <w:r>
        <w:rPr>
          <w:rFonts w:hint="eastAsia" w:ascii="Times New Roman" w:hAnsi="Times New Roman" w:cs="Times New Roman"/>
        </w:rPr>
        <w:t>）</w:t>
      </w:r>
      <w:r>
        <w:rPr>
          <w:rFonts w:hint="eastAsia" w:ascii="Times New Roman" w:hAnsi="Times New Roman" w:cs="Times New Roman"/>
          <w:kern w:val="0"/>
        </w:rPr>
        <w:t>；</w:t>
      </w:r>
    </w:p>
    <w:p w14:paraId="2D9736F6">
      <w:pPr>
        <w:autoSpaceDE w:val="0"/>
        <w:autoSpaceDN w:val="0"/>
        <w:adjustRightInd w:val="0"/>
        <w:ind w:firstLine="420" w:firstLineChars="200"/>
        <w:jc w:val="left"/>
        <w:rPr>
          <w:rFonts w:ascii="Times New Roman" w:hAnsi="Times New Roman" w:cs="Times New Roman"/>
          <w:kern w:val="0"/>
        </w:rPr>
      </w:pPr>
      <w:r>
        <w:rPr>
          <w:rFonts w:ascii="Times New Roman" w:hAnsi="Times New Roman" w:cs="Times New Roman"/>
          <w:i/>
          <w:kern w:val="0"/>
        </w:rPr>
        <w:t xml:space="preserve">m </w:t>
      </w:r>
      <w:r>
        <w:rPr>
          <w:rFonts w:ascii="Times New Roman" w:hAnsi="Times New Roman" w:cs="Times New Roman"/>
        </w:rPr>
        <w:t>——称取</w:t>
      </w:r>
      <w:r>
        <w:rPr>
          <w:rFonts w:hint="eastAsia" w:ascii="Times New Roman" w:hAnsi="Times New Roman" w:cs="Times New Roman"/>
        </w:rPr>
        <w:t>样品</w:t>
      </w:r>
      <w:r>
        <w:rPr>
          <w:rFonts w:ascii="Times New Roman" w:hAnsi="Times New Roman" w:cs="Times New Roman"/>
        </w:rPr>
        <w:t>质量</w:t>
      </w:r>
      <w:r>
        <w:rPr>
          <w:rFonts w:hint="eastAsia" w:ascii="Times New Roman" w:hAnsi="Times New Roman" w:cs="Times New Roman"/>
        </w:rPr>
        <w:t>的数值</w:t>
      </w:r>
      <w:r>
        <w:rPr>
          <w:rFonts w:hint="eastAsia" w:ascii="Times New Roman" w:hAnsi="Times New Roman" w:cs="Times New Roman"/>
          <w:kern w:val="0"/>
        </w:rPr>
        <w:t>，单位为克（</w:t>
      </w:r>
      <w:r>
        <w:rPr>
          <w:rFonts w:ascii="Times New Roman" w:hAnsi="Times New Roman" w:cs="Times New Roman"/>
          <w:kern w:val="0"/>
        </w:rPr>
        <w:t>g</w:t>
      </w:r>
      <w:r>
        <w:rPr>
          <w:rFonts w:hint="eastAsia" w:ascii="Times New Roman" w:hAnsi="Times New Roman" w:cs="Times New Roman"/>
          <w:kern w:val="0"/>
        </w:rPr>
        <w:t>）；</w:t>
      </w:r>
    </w:p>
    <w:p w14:paraId="1D2438BC">
      <w:pPr>
        <w:autoSpaceDE w:val="0"/>
        <w:autoSpaceDN w:val="0"/>
        <w:adjustRightInd w:val="0"/>
        <w:ind w:firstLine="420" w:firstLineChars="200"/>
        <w:jc w:val="left"/>
        <w:rPr>
          <w:rFonts w:ascii="Times New Roman" w:hAnsi="Times New Roman" w:cs="Times New Roman"/>
          <w:kern w:val="0"/>
        </w:rPr>
      </w:pPr>
      <w:r>
        <w:rPr>
          <w:rFonts w:hint="eastAsia" w:ascii="Times New Roman" w:hAnsi="Times New Roman" w:cs="Times New Roman"/>
          <w:i/>
          <w:iCs/>
          <w:kern w:val="0"/>
        </w:rPr>
        <w:t>5</w:t>
      </w:r>
      <w:r>
        <w:rPr>
          <w:rFonts w:ascii="Times New Roman" w:hAnsi="Times New Roman" w:cs="Times New Roman"/>
        </w:rPr>
        <w:t>——</w:t>
      </w:r>
      <w:r>
        <w:rPr>
          <w:rFonts w:hint="eastAsia" w:ascii="Times New Roman" w:hAnsi="Times New Roman" w:cs="Times New Roman"/>
        </w:rPr>
        <w:t>用于消化的浸提液体积数，</w:t>
      </w:r>
      <w:r>
        <w:rPr>
          <w:rFonts w:hint="eastAsia" w:ascii="Times New Roman" w:hAnsi="Times New Roman" w:cs="Times New Roman"/>
          <w:kern w:val="0"/>
        </w:rPr>
        <w:t>单位为</w:t>
      </w:r>
      <w:r>
        <w:rPr>
          <w:rFonts w:hint="eastAsia" w:ascii="Times New Roman" w:hAnsi="Times New Roman" w:cs="Times New Roman"/>
        </w:rPr>
        <w:t>毫升（</w:t>
      </w:r>
      <w:r>
        <w:rPr>
          <w:rFonts w:ascii="Times New Roman" w:hAnsi="Times New Roman" w:cs="Times New Roman"/>
          <w:iCs/>
        </w:rPr>
        <w:t>mL</w:t>
      </w:r>
      <w:r>
        <w:rPr>
          <w:rFonts w:hint="eastAsia" w:ascii="Times New Roman" w:hAnsi="Times New Roman" w:cs="Times New Roman"/>
        </w:rPr>
        <w:t>）；</w:t>
      </w:r>
    </w:p>
    <w:p w14:paraId="11A15513">
      <w:pPr>
        <w:autoSpaceDE w:val="0"/>
        <w:autoSpaceDN w:val="0"/>
        <w:adjustRightInd w:val="0"/>
        <w:ind w:firstLine="420" w:firstLineChars="200"/>
        <w:jc w:val="left"/>
        <w:rPr>
          <w:rFonts w:ascii="Times New Roman" w:hAnsi="Times New Roman" w:cs="Times New Roman"/>
          <w:kern w:val="0"/>
        </w:rPr>
      </w:pPr>
      <w:r>
        <w:rPr>
          <w:rFonts w:hint="eastAsia" w:ascii="Times New Roman" w:hAnsi="Times New Roman" w:cs="Times New Roman"/>
          <w:i/>
          <w:iCs/>
          <w:kern w:val="0"/>
        </w:rPr>
        <w:t>10</w:t>
      </w:r>
      <w:r>
        <w:rPr>
          <w:rFonts w:ascii="Times New Roman" w:hAnsi="Times New Roman" w:cs="Times New Roman"/>
        </w:rPr>
        <w:t>——</w:t>
      </w:r>
      <w:r>
        <w:rPr>
          <w:rFonts w:hint="eastAsia" w:ascii="Times New Roman" w:hAnsi="Times New Roman" w:cs="Times New Roman"/>
        </w:rPr>
        <w:t>消化液定容体积数，</w:t>
      </w:r>
      <w:r>
        <w:rPr>
          <w:rFonts w:hint="eastAsia" w:ascii="Times New Roman" w:hAnsi="Times New Roman" w:cs="Times New Roman"/>
          <w:kern w:val="0"/>
        </w:rPr>
        <w:t>单位为</w:t>
      </w:r>
      <w:r>
        <w:rPr>
          <w:rFonts w:hint="eastAsia" w:ascii="Times New Roman" w:hAnsi="Times New Roman" w:cs="Times New Roman"/>
        </w:rPr>
        <w:t>毫升（</w:t>
      </w:r>
      <w:r>
        <w:rPr>
          <w:rFonts w:ascii="Times New Roman" w:hAnsi="Times New Roman" w:cs="Times New Roman"/>
          <w:iCs/>
        </w:rPr>
        <w:t>mL</w:t>
      </w:r>
      <w:r>
        <w:rPr>
          <w:rFonts w:hint="eastAsia" w:ascii="Times New Roman" w:hAnsi="Times New Roman" w:cs="Times New Roman"/>
        </w:rPr>
        <w:t>）；</w:t>
      </w:r>
    </w:p>
    <w:p w14:paraId="75496608">
      <w:pPr>
        <w:autoSpaceDE w:val="0"/>
        <w:autoSpaceDN w:val="0"/>
        <w:adjustRightInd w:val="0"/>
        <w:ind w:firstLine="420" w:firstLineChars="200"/>
        <w:jc w:val="left"/>
        <w:rPr>
          <w:rFonts w:ascii="宋体" w:hAnsi="宋体" w:cs="黑体"/>
          <w:kern w:val="0"/>
        </w:rPr>
      </w:pPr>
      <w:r>
        <w:rPr>
          <w:rFonts w:hint="eastAsia" w:ascii="Times New Roman" w:hAnsi="Times New Roman" w:cs="Times New Roman"/>
          <w:i/>
          <w:iCs/>
          <w:kern w:val="0"/>
        </w:rPr>
        <w:t>40</w:t>
      </w:r>
      <w:r>
        <w:rPr>
          <w:rFonts w:ascii="Times New Roman" w:hAnsi="Times New Roman" w:cs="Times New Roman"/>
          <w:kern w:val="0"/>
        </w:rPr>
        <w:t xml:space="preserve"> </w:t>
      </w:r>
      <w:r>
        <w:rPr>
          <w:rFonts w:ascii="Times New Roman" w:hAnsi="Times New Roman" w:cs="Times New Roman"/>
        </w:rPr>
        <w:t>——</w:t>
      </w:r>
      <w:r>
        <w:rPr>
          <w:rFonts w:hint="eastAsia" w:ascii="Times New Roman" w:hAnsi="Times New Roman" w:cs="Times New Roman"/>
        </w:rPr>
        <w:t>浸提时加水的体积数，单位为毫升（</w:t>
      </w:r>
      <w:r>
        <w:rPr>
          <w:rFonts w:ascii="Times New Roman" w:hAnsi="Times New Roman" w:cs="Times New Roman"/>
        </w:rPr>
        <w:t>mL</w:t>
      </w:r>
      <w:r>
        <w:rPr>
          <w:rFonts w:hint="eastAsia" w:ascii="Times New Roman" w:hAnsi="Times New Roman" w:cs="Times New Roman"/>
        </w:rPr>
        <w:t>）</w:t>
      </w:r>
      <w:r>
        <w:rPr>
          <w:rFonts w:hint="eastAsia" w:ascii="宋体" w:hAnsi="宋体"/>
        </w:rPr>
        <w:t>。</w:t>
      </w:r>
    </w:p>
    <w:p w14:paraId="1BDC4096">
      <w:pPr>
        <w:pStyle w:val="9"/>
        <w:ind w:firstLine="525" w:firstLineChars="250"/>
        <w:rPr>
          <w:rFonts w:ascii="黑体" w:hAnsi="黑体" w:eastAsia="黑体"/>
        </w:rPr>
      </w:pPr>
      <w:r>
        <w:rPr>
          <w:rFonts w:hint="eastAsia"/>
        </w:rPr>
        <w:t>计算结果保留两位有效数字。</w:t>
      </w:r>
      <w:bookmarkStart w:id="56" w:name="_Toc89523165"/>
      <w:bookmarkEnd w:id="56"/>
      <w:r>
        <w:rPr>
          <w:rFonts w:hint="eastAsia" w:ascii="黑体" w:hAnsi="黑体" w:eastAsia="黑体"/>
        </w:rPr>
        <w:t xml:space="preserve"> </w:t>
      </w:r>
    </w:p>
    <w:p w14:paraId="6BA681BF">
      <w:pPr>
        <w:pStyle w:val="14"/>
        <w:numPr>
          <w:ilvl w:val="0"/>
          <w:numId w:val="2"/>
        </w:numPr>
        <w:outlineLvl w:val="0"/>
        <w:rPr>
          <w:rFonts w:ascii="Times New Roman"/>
          <w:szCs w:val="21"/>
        </w:rPr>
      </w:pPr>
      <w:bookmarkStart w:id="57" w:name="_Toc89523166"/>
      <w:bookmarkEnd w:id="57"/>
      <w:bookmarkStart w:id="58" w:name="_Toc89523167"/>
      <w:bookmarkEnd w:id="58"/>
      <w:bookmarkStart w:id="59" w:name="_Toc332397167"/>
      <w:bookmarkEnd w:id="59"/>
      <w:bookmarkStart w:id="60" w:name="_Toc91448943"/>
      <w:r>
        <w:rPr>
          <w:rFonts w:hint="eastAsia" w:ascii="Times New Roman"/>
          <w:szCs w:val="21"/>
        </w:rPr>
        <w:t>精密度和正确度</w:t>
      </w:r>
    </w:p>
    <w:p w14:paraId="6DCC729F">
      <w:pPr>
        <w:pStyle w:val="11"/>
        <w:numPr>
          <w:ilvl w:val="1"/>
          <w:numId w:val="2"/>
        </w:numPr>
        <w:ind w:left="567" w:leftChars="0" w:hanging="567" w:hangingChars="270"/>
        <w:outlineLvl w:val="1"/>
        <w:rPr>
          <w:rFonts w:ascii="Times New Roman"/>
        </w:rPr>
      </w:pPr>
      <w:r>
        <w:rPr>
          <w:rFonts w:hint="eastAsia" w:ascii="Times New Roman"/>
        </w:rPr>
        <w:t>精密度</w:t>
      </w:r>
    </w:p>
    <w:p w14:paraId="57562FE0">
      <w:pPr>
        <w:pStyle w:val="9"/>
      </w:pPr>
      <w:r>
        <w:rPr>
          <w:rFonts w:hint="eastAsia" w:ascii="Times New Roman"/>
        </w:rPr>
        <w:t>选择</w:t>
      </w:r>
      <w:r>
        <w:rPr>
          <w:rFonts w:ascii="Times New Roman"/>
        </w:rPr>
        <w:t>5</w:t>
      </w:r>
      <w:r>
        <w:rPr>
          <w:rFonts w:hint="eastAsia" w:ascii="Times New Roman"/>
        </w:rPr>
        <w:t>个不同类型，不同含量水平的土壤样品，在</w:t>
      </w:r>
      <w:r>
        <w:rPr>
          <w:rFonts w:ascii="Times New Roman"/>
        </w:rPr>
        <w:t>8</w:t>
      </w:r>
      <w:r>
        <w:rPr>
          <w:rFonts w:hint="eastAsia" w:ascii="Times New Roman"/>
        </w:rPr>
        <w:t>家实验室分别进行了方法精密度试验。方法精密度数据见附录</w:t>
      </w:r>
      <w:r>
        <w:rPr>
          <w:rFonts w:ascii="Times New Roman"/>
        </w:rPr>
        <w:t>A</w:t>
      </w:r>
      <w:r>
        <w:t>。</w:t>
      </w:r>
    </w:p>
    <w:p w14:paraId="207796CB">
      <w:pPr>
        <w:pStyle w:val="11"/>
        <w:numPr>
          <w:ilvl w:val="1"/>
          <w:numId w:val="2"/>
        </w:numPr>
        <w:ind w:left="567" w:leftChars="0" w:hanging="567" w:hangingChars="270"/>
        <w:outlineLvl w:val="1"/>
      </w:pPr>
      <w:r>
        <w:rPr>
          <w:rFonts w:hint="eastAsia"/>
        </w:rPr>
        <w:t>正确度</w:t>
      </w:r>
    </w:p>
    <w:p w14:paraId="26E0AB3C">
      <w:pPr>
        <w:pStyle w:val="9"/>
      </w:pPr>
      <w:r>
        <w:rPr>
          <w:rFonts w:hint="eastAsia"/>
        </w:rPr>
        <w:t>按照</w:t>
      </w:r>
      <w:r>
        <w:rPr>
          <w:rFonts w:hint="eastAsia" w:ascii="Times New Roman"/>
        </w:rPr>
        <w:t>GB/T 6379.4</w:t>
      </w:r>
      <w:r>
        <w:rPr>
          <w:rFonts w:hint="eastAsia"/>
        </w:rPr>
        <w:t>规定的方法，选择</w:t>
      </w:r>
      <w:r>
        <w:rPr>
          <w:rFonts w:ascii="Times New Roman"/>
        </w:rPr>
        <w:t>5</w:t>
      </w:r>
      <w:r>
        <w:t>个</w:t>
      </w:r>
      <w:r>
        <w:rPr>
          <w:rFonts w:hint="eastAsia"/>
        </w:rPr>
        <w:t>不同类型，</w:t>
      </w:r>
      <w:r>
        <w:t>不同含量水平的</w:t>
      </w:r>
      <w:r>
        <w:rPr>
          <w:rFonts w:hint="eastAsia"/>
        </w:rPr>
        <w:t>土壤</w:t>
      </w:r>
      <w:r>
        <w:t>样品</w:t>
      </w:r>
      <w:r>
        <w:rPr>
          <w:rFonts w:hint="eastAsia"/>
        </w:rPr>
        <w:t>，在</w:t>
      </w:r>
      <w:r>
        <w:rPr>
          <w:rFonts w:ascii="Times New Roman"/>
        </w:rPr>
        <w:t>8</w:t>
      </w:r>
      <w:r>
        <w:t>家实验室进行</w:t>
      </w:r>
      <w:r>
        <w:rPr>
          <w:rFonts w:hint="eastAsia"/>
        </w:rPr>
        <w:t>了方法正确度试验。方法正确度数据</w:t>
      </w:r>
      <w:r>
        <w:rPr>
          <w:rFonts w:hint="eastAsia" w:ascii="Times New Roman"/>
        </w:rPr>
        <w:t>见附录</w:t>
      </w:r>
      <w:r>
        <w:rPr>
          <w:rFonts w:ascii="Times New Roman"/>
        </w:rPr>
        <w:t>A</w:t>
      </w:r>
      <w:r>
        <w:rPr>
          <w:rFonts w:hint="eastAsia"/>
        </w:rPr>
        <w:t>。</w:t>
      </w:r>
    </w:p>
    <w:p w14:paraId="1415ED33">
      <w:pPr>
        <w:pStyle w:val="9"/>
        <w:ind w:firstLine="0" w:firstLineChars="0"/>
        <w:rPr>
          <w:rFonts w:ascii="Times New Roman"/>
          <w:szCs w:val="21"/>
        </w:rPr>
      </w:pPr>
    </w:p>
    <w:p w14:paraId="28396D2F">
      <w:pPr>
        <w:pStyle w:val="14"/>
        <w:numPr>
          <w:ilvl w:val="0"/>
          <w:numId w:val="2"/>
        </w:numPr>
        <w:outlineLvl w:val="0"/>
        <w:rPr>
          <w:rFonts w:ascii="Times New Roman"/>
          <w:szCs w:val="21"/>
        </w:rPr>
      </w:pPr>
      <w:r>
        <w:t>质量保证和</w:t>
      </w:r>
      <w:r>
        <w:rPr>
          <w:rFonts w:hint="eastAsia"/>
        </w:rPr>
        <w:t>质量</w:t>
      </w:r>
      <w:r>
        <w:t>控制</w:t>
      </w:r>
      <w:bookmarkEnd w:id="60"/>
    </w:p>
    <w:p w14:paraId="3E1E6BA2">
      <w:pPr>
        <w:pStyle w:val="35"/>
        <w:numPr>
          <w:ilvl w:val="1"/>
          <w:numId w:val="2"/>
        </w:numPr>
        <w:ind w:left="0"/>
        <w:rPr>
          <w:rFonts w:ascii="Times New Roman"/>
          <w:color w:val="000000"/>
        </w:rPr>
      </w:pPr>
      <w:r>
        <w:rPr>
          <w:color w:val="000000"/>
        </w:rPr>
        <w:t>随同每批</w:t>
      </w:r>
      <w:r>
        <w:rPr>
          <w:rFonts w:hint="eastAsia"/>
          <w:color w:val="000000"/>
        </w:rPr>
        <w:t>次</w:t>
      </w:r>
      <w:r>
        <w:rPr>
          <w:rFonts w:ascii="Times New Roman"/>
          <w:color w:val="000000"/>
        </w:rPr>
        <w:t>20</w:t>
      </w:r>
      <w:r>
        <w:rPr>
          <w:rFonts w:hint="eastAsia"/>
          <w:color w:val="000000"/>
        </w:rPr>
        <w:t>个样品</w:t>
      </w:r>
      <w:r>
        <w:rPr>
          <w:color w:val="000000"/>
        </w:rPr>
        <w:t>至少做</w:t>
      </w:r>
      <w:r>
        <w:rPr>
          <w:rFonts w:ascii="Times New Roman"/>
          <w:color w:val="000000"/>
        </w:rPr>
        <w:t>2</w:t>
      </w:r>
      <w:r>
        <w:rPr>
          <w:color w:val="000000"/>
        </w:rPr>
        <w:t>个空白试验，空白试验结果</w:t>
      </w:r>
      <w:r>
        <w:rPr>
          <w:rFonts w:hint="eastAsia"/>
          <w:color w:val="000000"/>
        </w:rPr>
        <w:t>不高于测定下限</w:t>
      </w:r>
      <w:r>
        <w:rPr>
          <w:color w:val="000000"/>
        </w:rPr>
        <w:t>。</w:t>
      </w:r>
    </w:p>
    <w:p w14:paraId="3013EB3D">
      <w:pPr>
        <w:pStyle w:val="35"/>
        <w:numPr>
          <w:ilvl w:val="1"/>
          <w:numId w:val="2"/>
        </w:numPr>
        <w:ind w:left="0"/>
        <w:rPr>
          <w:rFonts w:ascii="Times New Roman"/>
          <w:color w:val="000000"/>
        </w:rPr>
      </w:pPr>
      <w:r>
        <w:rPr>
          <w:rFonts w:hint="eastAsia" w:ascii="Times New Roman"/>
          <w:color w:val="000000"/>
        </w:rPr>
        <w:t>每批样品需要做校准曲线，用一次线性拟合曲线进行校准，</w:t>
      </w:r>
      <w:r>
        <w:rPr>
          <w:rFonts w:ascii="Times New Roman"/>
          <w:color w:val="000000"/>
        </w:rPr>
        <w:t>其线性相关系数应大于等于</w:t>
      </w:r>
      <w:r>
        <w:rPr>
          <w:rFonts w:hint="eastAsia" w:ascii="Times New Roman"/>
          <w:color w:val="000000"/>
        </w:rPr>
        <w:t>0.999。</w:t>
      </w:r>
    </w:p>
    <w:p w14:paraId="07343E48">
      <w:pPr>
        <w:pStyle w:val="35"/>
        <w:numPr>
          <w:ilvl w:val="1"/>
          <w:numId w:val="2"/>
        </w:numPr>
        <w:ind w:left="0"/>
        <w:rPr>
          <w:rFonts w:ascii="Times New Roman"/>
          <w:color w:val="000000"/>
        </w:rPr>
      </w:pPr>
      <w:r>
        <w:rPr>
          <w:rFonts w:hint="eastAsia"/>
          <w:color w:val="000000"/>
        </w:rPr>
        <w:t>样品</w:t>
      </w:r>
      <w:r>
        <w:rPr>
          <w:color w:val="000000"/>
        </w:rPr>
        <w:t>平行</w:t>
      </w:r>
      <w:r>
        <w:rPr>
          <w:rFonts w:hint="eastAsia"/>
          <w:color w:val="000000"/>
        </w:rPr>
        <w:t>试验结果按</w:t>
      </w:r>
      <w:r>
        <w:rPr>
          <w:rFonts w:ascii="Times New Roman"/>
          <w:color w:val="000000"/>
        </w:rPr>
        <w:t>D</w:t>
      </w:r>
      <w:r>
        <w:rPr>
          <w:rFonts w:hint="eastAsia" w:ascii="Times New Roman"/>
          <w:color w:val="000000"/>
        </w:rPr>
        <w:t>D</w:t>
      </w:r>
      <w:r>
        <w:rPr>
          <w:rFonts w:ascii="Times New Roman"/>
          <w:color w:val="000000"/>
        </w:rPr>
        <w:t xml:space="preserve"> </w:t>
      </w:r>
      <w:r>
        <w:rPr>
          <w:rFonts w:hint="eastAsia" w:ascii="Times New Roman"/>
          <w:color w:val="000000"/>
        </w:rPr>
        <w:t>2005-03</w:t>
      </w:r>
      <w:r>
        <w:rPr>
          <w:rFonts w:hint="eastAsia"/>
          <w:color w:val="000000"/>
        </w:rPr>
        <w:t>规定的允许差执行</w:t>
      </w:r>
      <w:r>
        <w:rPr>
          <w:color w:val="000000"/>
        </w:rPr>
        <w:t>。</w:t>
      </w:r>
    </w:p>
    <w:p w14:paraId="7A460FB1">
      <w:pPr>
        <w:pStyle w:val="35"/>
        <w:numPr>
          <w:ilvl w:val="1"/>
          <w:numId w:val="2"/>
        </w:numPr>
        <w:ind w:left="0"/>
      </w:pPr>
      <w:r>
        <w:rPr>
          <w:rFonts w:hint="eastAsia"/>
        </w:rPr>
        <w:t>随同样品</w:t>
      </w:r>
      <w:r>
        <w:rPr>
          <w:color w:val="000000"/>
        </w:rPr>
        <w:t>取同类型标准物质作质量监控</w:t>
      </w:r>
      <w:r>
        <w:rPr>
          <w:rFonts w:hint="eastAsia"/>
          <w:color w:val="000000"/>
        </w:rPr>
        <w:t>。</w:t>
      </w:r>
      <w:r>
        <w:rPr>
          <w:rFonts w:hint="eastAsia"/>
          <w:bCs/>
          <w:color w:val="000000"/>
        </w:rPr>
        <w:t>也可</w:t>
      </w:r>
      <w:r>
        <w:rPr>
          <w:rFonts w:hint="eastAsia"/>
          <w:color w:val="000000"/>
        </w:rPr>
        <w:t>采取留样再测、人员比对、不同实验室间比对以及其它有效的技术核查方法进行质量监控。</w:t>
      </w:r>
      <w:bookmarkStart w:id="61" w:name="_Toc2980"/>
      <w:bookmarkEnd w:id="61"/>
      <w:r>
        <w:rPr>
          <w:rFonts w:hint="eastAsia"/>
          <w:color w:val="000000"/>
        </w:rPr>
        <w:br w:type="page"/>
      </w:r>
    </w:p>
    <w:p w14:paraId="15E92E5C">
      <w:pPr>
        <w:pStyle w:val="25"/>
        <w:pageBreakBefore w:val="0"/>
        <w:numPr>
          <w:ilvl w:val="0"/>
          <w:numId w:val="1"/>
        </w:numPr>
        <w:spacing w:after="0"/>
      </w:pPr>
    </w:p>
    <w:p w14:paraId="2DA43020">
      <w:pPr>
        <w:pStyle w:val="27"/>
        <w:outlineLvl w:val="0"/>
      </w:pPr>
      <w:bookmarkStart w:id="62" w:name="_Toc22513"/>
      <w:bookmarkStart w:id="63" w:name="_Toc121"/>
      <w:bookmarkStart w:id="64" w:name="_Toc28025"/>
      <w:r>
        <w:rPr>
          <w:rFonts w:hint="eastAsia"/>
        </w:rPr>
        <w:t>（资料性附录）</w:t>
      </w:r>
      <w:bookmarkEnd w:id="62"/>
      <w:bookmarkEnd w:id="63"/>
      <w:bookmarkEnd w:id="64"/>
    </w:p>
    <w:p w14:paraId="0ED71804">
      <w:pPr>
        <w:pStyle w:val="29"/>
        <w:spacing w:before="0" w:beforeLines="0" w:after="312"/>
        <w:jc w:val="center"/>
      </w:pPr>
      <w:bookmarkStart w:id="65" w:name="_Toc17439"/>
      <w:bookmarkStart w:id="66" w:name="_Toc18740"/>
      <w:bookmarkStart w:id="67" w:name="_Toc13185"/>
      <w:r>
        <w:rPr>
          <w:rFonts w:hint="eastAsia"/>
        </w:rPr>
        <w:t>方法的精密度</w:t>
      </w:r>
      <w:bookmarkEnd w:id="65"/>
      <w:bookmarkEnd w:id="66"/>
      <w:bookmarkEnd w:id="67"/>
      <w:r>
        <w:rPr>
          <w:rFonts w:hint="eastAsia"/>
        </w:rPr>
        <w:t>和正确度</w:t>
      </w:r>
    </w:p>
    <w:p w14:paraId="43B05297">
      <w:pPr>
        <w:pStyle w:val="36"/>
        <w:rPr>
          <w:rFonts w:cs="宋体"/>
        </w:rPr>
      </w:pPr>
      <w:r>
        <w:rPr>
          <w:rFonts w:hint="eastAsia" w:hAnsi="黑体"/>
          <w:szCs w:val="21"/>
        </w:rPr>
        <w:t>表A.</w:t>
      </w:r>
      <w:r>
        <w:rPr>
          <w:rFonts w:hAnsi="黑体"/>
        </w:rPr>
        <w:t>1</w:t>
      </w:r>
      <w:r>
        <w:rPr>
          <w:rFonts w:hint="eastAsia"/>
        </w:rPr>
        <w:t>水溶性硒分析方法精密度表</w:t>
      </w:r>
    </w:p>
    <w:p w14:paraId="5E5D45E4">
      <w:pPr>
        <w:pStyle w:val="9"/>
        <w:ind w:firstLine="0" w:firstLineChars="0"/>
        <w:jc w:val="right"/>
        <w:rPr>
          <w:rFonts w:ascii="Times New Roman"/>
          <w:sz w:val="18"/>
          <w:szCs w:val="18"/>
        </w:rPr>
      </w:pPr>
      <w:r>
        <w:rPr>
          <w:sz w:val="18"/>
          <w:szCs w:val="18"/>
        </w:rPr>
        <w:t>单位为</w:t>
      </w:r>
      <w:r>
        <w:rPr>
          <w:rFonts w:hint="eastAsia"/>
          <w:sz w:val="18"/>
          <w:szCs w:val="18"/>
        </w:rPr>
        <w:t xml:space="preserve"> </w:t>
      </w:r>
      <w:r>
        <w:rPr>
          <w:rFonts w:hint="eastAsia" w:ascii="Times New Roman"/>
        </w:rPr>
        <w:t>mg/kg</w:t>
      </w:r>
    </w:p>
    <w:tbl>
      <w:tblPr>
        <w:tblStyle w:val="6"/>
        <w:tblW w:w="5000" w:type="pct"/>
        <w:tblInd w:w="0" w:type="dxa"/>
        <w:tblLayout w:type="fixed"/>
        <w:tblCellMar>
          <w:top w:w="0" w:type="dxa"/>
          <w:left w:w="0" w:type="dxa"/>
          <w:bottom w:w="0" w:type="dxa"/>
          <w:right w:w="0" w:type="dxa"/>
        </w:tblCellMar>
      </w:tblPr>
      <w:tblGrid>
        <w:gridCol w:w="1461"/>
        <w:gridCol w:w="2642"/>
        <w:gridCol w:w="2640"/>
        <w:gridCol w:w="2640"/>
      </w:tblGrid>
      <w:tr w14:paraId="2187744D">
        <w:tblPrEx>
          <w:tblCellMar>
            <w:top w:w="0" w:type="dxa"/>
            <w:left w:w="0" w:type="dxa"/>
            <w:bottom w:w="0" w:type="dxa"/>
            <w:right w:w="0" w:type="dxa"/>
          </w:tblCellMar>
        </w:tblPrEx>
        <w:trPr>
          <w:trHeight w:val="270" w:hRule="atLeast"/>
        </w:trPr>
        <w:tc>
          <w:tcPr>
            <w:tcW w:w="779"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3B4F3044">
            <w:pPr>
              <w:widowControl/>
              <w:jc w:val="center"/>
              <w:textAlignment w:val="center"/>
              <w:rPr>
                <w:color w:val="000000"/>
                <w:kern w:val="0"/>
                <w:sz w:val="18"/>
                <w:szCs w:val="18"/>
              </w:rPr>
            </w:pPr>
            <w:r>
              <w:rPr>
                <w:rFonts w:ascii="宋体" w:hAnsi="宋体"/>
                <w:color w:val="000000"/>
                <w:kern w:val="0"/>
                <w:sz w:val="18"/>
                <w:szCs w:val="18"/>
              </w:rPr>
              <w:t>元素</w:t>
            </w:r>
          </w:p>
        </w:tc>
        <w:tc>
          <w:tcPr>
            <w:tcW w:w="1407" w:type="pct"/>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14:paraId="67FB84E1">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水平范围</w:t>
            </w:r>
            <w:r>
              <w:rPr>
                <w:rFonts w:ascii="Times New Roman" w:hAnsi="Times New Roman" w:eastAsia="方正姚体_GBK" w:cs="Times New Roman"/>
                <w:i/>
                <w:color w:val="000000"/>
              </w:rPr>
              <w:t>w</w:t>
            </w:r>
          </w:p>
        </w:tc>
        <w:tc>
          <w:tcPr>
            <w:tcW w:w="1406" w:type="pct"/>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14:paraId="3725A652">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重复性标准差r</w:t>
            </w:r>
          </w:p>
        </w:tc>
        <w:tc>
          <w:tcPr>
            <w:tcW w:w="1406" w:type="pct"/>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14:paraId="3A6A77EC">
            <w:pPr>
              <w:widowControl/>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再现性标准差R</w:t>
            </w:r>
          </w:p>
        </w:tc>
      </w:tr>
      <w:tr w14:paraId="1401DDE4">
        <w:tblPrEx>
          <w:tblCellMar>
            <w:top w:w="0" w:type="dxa"/>
            <w:left w:w="0" w:type="dxa"/>
            <w:bottom w:w="0" w:type="dxa"/>
            <w:right w:w="0" w:type="dxa"/>
          </w:tblCellMar>
        </w:tblPrEx>
        <w:trPr>
          <w:trHeight w:val="270" w:hRule="atLeast"/>
        </w:trPr>
        <w:tc>
          <w:tcPr>
            <w:tcW w:w="779"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64856019">
            <w:pPr>
              <w:widowControl/>
              <w:jc w:val="center"/>
              <w:textAlignment w:val="center"/>
              <w:rPr>
                <w:color w:val="000000"/>
                <w:sz w:val="18"/>
                <w:szCs w:val="18"/>
              </w:rPr>
            </w:pPr>
            <w:r>
              <w:rPr>
                <w:rFonts w:hint="eastAsia" w:ascii="宋体" w:hAnsi="宋体"/>
                <w:color w:val="000000"/>
                <w:kern w:val="0"/>
                <w:sz w:val="18"/>
                <w:szCs w:val="18"/>
              </w:rPr>
              <w:t>水溶性硒</w:t>
            </w:r>
            <w:r>
              <w:rPr>
                <w:rFonts w:ascii="宋体" w:hAnsi="宋体"/>
                <w:color w:val="000000"/>
                <w:kern w:val="0"/>
                <w:sz w:val="18"/>
                <w:szCs w:val="18"/>
              </w:rPr>
              <w:t>　</w:t>
            </w:r>
          </w:p>
        </w:tc>
        <w:tc>
          <w:tcPr>
            <w:tcW w:w="1407" w:type="pct"/>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14:paraId="6BC48CC6">
            <w:pPr>
              <w:jc w:val="center"/>
              <w:rPr>
                <w:rFonts w:ascii="Times New Roman" w:hAnsi="Times New Roman" w:eastAsia="仿宋_GB2312" w:cs="Times New Roman"/>
                <w:szCs w:val="21"/>
              </w:rPr>
            </w:pPr>
            <w:r>
              <w:rPr>
                <w:rFonts w:ascii="Times New Roman" w:hAnsi="Times New Roman" w:cs="Times New Roman"/>
              </w:rPr>
              <w:t>0.0027～0.14</w:t>
            </w:r>
          </w:p>
        </w:tc>
        <w:tc>
          <w:tcPr>
            <w:tcW w:w="1406" w:type="pct"/>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14:paraId="6E598522">
            <w:pPr>
              <w:jc w:val="center"/>
              <w:textAlignment w:val="bottom"/>
              <w:rPr>
                <w:rFonts w:ascii="Times New Roman" w:hAnsi="Times New Roman" w:eastAsia="仿宋_GB2312" w:cs="Times New Roman"/>
                <w:i/>
                <w:iCs/>
                <w:szCs w:val="21"/>
              </w:rPr>
            </w:pPr>
            <w:r>
              <w:rPr>
                <w:rFonts w:hint="eastAsia" w:ascii="Times New Roman" w:hAnsi="Times New Roman" w:cs="Times New Roman"/>
                <w:color w:val="000000"/>
                <w:kern w:val="0"/>
              </w:rPr>
              <w:t>s</w:t>
            </w:r>
            <w:r>
              <w:rPr>
                <w:rFonts w:ascii="Times New Roman" w:hAnsi="Times New Roman" w:cs="Times New Roman"/>
                <w:color w:val="000000"/>
                <w:kern w:val="0"/>
                <w:vertAlign w:val="subscript"/>
              </w:rPr>
              <w:t>r</w:t>
            </w:r>
            <w:r>
              <w:rPr>
                <w:rFonts w:ascii="Times New Roman" w:hAnsi="Times New Roman" w:cs="Times New Roman"/>
                <w:color w:val="000000"/>
                <w:kern w:val="0"/>
              </w:rPr>
              <w:t xml:space="preserve">=0.0447 </w:t>
            </w:r>
            <w:r>
              <w:rPr>
                <w:rFonts w:ascii="Times New Roman" w:hAnsi="Times New Roman" w:eastAsia="方正姚体_GBK" w:cs="Times New Roman"/>
                <w:i/>
                <w:color w:val="000000"/>
              </w:rPr>
              <w:t>w</w:t>
            </w:r>
          </w:p>
        </w:tc>
        <w:tc>
          <w:tcPr>
            <w:tcW w:w="1406" w:type="pct"/>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14:paraId="7B555745">
            <w:pPr>
              <w:jc w:val="center"/>
              <w:textAlignment w:val="bottom"/>
              <w:rPr>
                <w:rFonts w:ascii="Times New Roman" w:hAnsi="Times New Roman" w:eastAsia="宋体" w:cs="Times New Roman"/>
                <w:i/>
                <w:iCs/>
                <w:szCs w:val="21"/>
              </w:rPr>
            </w:pPr>
            <w:r>
              <w:rPr>
                <w:rFonts w:hint="eastAsia" w:ascii="Times New Roman" w:hAnsi="Times New Roman" w:cs="Times New Roman"/>
                <w:color w:val="000000"/>
                <w:kern w:val="0"/>
              </w:rPr>
              <w:t>s</w:t>
            </w:r>
            <w:r>
              <w:rPr>
                <w:rFonts w:ascii="Times New Roman" w:hAnsi="Times New Roman" w:cs="Times New Roman"/>
                <w:color w:val="000000"/>
                <w:kern w:val="0"/>
                <w:vertAlign w:val="subscript"/>
              </w:rPr>
              <w:t>R</w:t>
            </w:r>
            <w:r>
              <w:rPr>
                <w:rFonts w:ascii="Times New Roman" w:hAnsi="Times New Roman" w:cs="Times New Roman"/>
                <w:color w:val="000000"/>
                <w:kern w:val="0"/>
              </w:rPr>
              <w:t xml:space="preserve">=0.0871 </w:t>
            </w:r>
            <w:r>
              <w:rPr>
                <w:rFonts w:ascii="Times New Roman" w:hAnsi="Times New Roman" w:eastAsia="方正姚体_GBK" w:cs="Times New Roman"/>
                <w:i/>
                <w:color w:val="000000"/>
              </w:rPr>
              <w:t>w</w:t>
            </w:r>
          </w:p>
        </w:tc>
      </w:tr>
    </w:tbl>
    <w:p w14:paraId="26AA35FE">
      <w:pPr>
        <w:pStyle w:val="9"/>
        <w:rPr>
          <w:rFonts w:hAnsi="宋体" w:cs="宋体"/>
          <w:szCs w:val="21"/>
        </w:rPr>
      </w:pPr>
      <w:r>
        <w:rPr>
          <w:rFonts w:hint="eastAsia"/>
        </w:rPr>
        <w:t xml:space="preserve"> </w:t>
      </w:r>
    </w:p>
    <w:p w14:paraId="178D11B0">
      <w:pPr>
        <w:pStyle w:val="36"/>
      </w:pPr>
      <w:r>
        <w:rPr>
          <w:rFonts w:hint="eastAsia" w:hAnsi="黑体"/>
          <w:szCs w:val="21"/>
        </w:rPr>
        <w:t>表A.2</w:t>
      </w:r>
      <w:r>
        <w:rPr>
          <w:rFonts w:hint="eastAsia"/>
        </w:rPr>
        <w:t>水溶性硒方法正确度数据统计表</w:t>
      </w:r>
    </w:p>
    <w:tbl>
      <w:tblPr>
        <w:tblStyle w:val="6"/>
        <w:tblW w:w="4999" w:type="pct"/>
        <w:jc w:val="center"/>
        <w:tblLayout w:type="fixed"/>
        <w:tblCellMar>
          <w:top w:w="0" w:type="dxa"/>
          <w:left w:w="108" w:type="dxa"/>
          <w:bottom w:w="0" w:type="dxa"/>
          <w:right w:w="108" w:type="dxa"/>
        </w:tblCellMar>
      </w:tblPr>
      <w:tblGrid>
        <w:gridCol w:w="3697"/>
        <w:gridCol w:w="2602"/>
        <w:gridCol w:w="3268"/>
      </w:tblGrid>
      <w:tr w14:paraId="7F5543C4">
        <w:tblPrEx>
          <w:tblCellMar>
            <w:top w:w="0" w:type="dxa"/>
            <w:left w:w="108" w:type="dxa"/>
            <w:bottom w:w="0" w:type="dxa"/>
            <w:right w:w="108" w:type="dxa"/>
          </w:tblCellMar>
        </w:tblPrEx>
        <w:trPr>
          <w:trHeight w:val="363" w:hRule="atLeast"/>
          <w:jc w:val="center"/>
        </w:trPr>
        <w:tc>
          <w:tcPr>
            <w:tcW w:w="1932" w:type="pct"/>
            <w:vMerge w:val="restart"/>
            <w:tcBorders>
              <w:top w:val="single" w:color="auto" w:sz="4" w:space="0"/>
              <w:left w:val="single" w:color="auto" w:sz="4" w:space="0"/>
              <w:bottom w:val="nil"/>
              <w:right w:val="single" w:color="auto" w:sz="4" w:space="0"/>
            </w:tcBorders>
            <w:noWrap/>
            <w:vAlign w:val="center"/>
          </w:tcPr>
          <w:p w14:paraId="19EC57F2">
            <w:pPr>
              <w:widowControl/>
              <w:jc w:val="center"/>
              <w:rPr>
                <w:rFonts w:ascii="Times New Roman" w:hAnsi="Times New Roman" w:cs="Times New Roman"/>
                <w:color w:val="000000"/>
                <w:kern w:val="0"/>
                <w:sz w:val="18"/>
                <w:szCs w:val="18"/>
              </w:rPr>
            </w:pPr>
            <w:r>
              <w:rPr>
                <w:rFonts w:hint="eastAsia" w:ascii="Times New Roman" w:hAnsi="Times New Roman" w:cs="Times New Roman"/>
                <w:kern w:val="0"/>
                <w:sz w:val="18"/>
                <w:szCs w:val="18"/>
              </w:rPr>
              <w:t>统计参数</w:t>
            </w:r>
          </w:p>
        </w:tc>
        <w:tc>
          <w:tcPr>
            <w:tcW w:w="3067" w:type="pct"/>
            <w:gridSpan w:val="2"/>
            <w:tcBorders>
              <w:top w:val="single" w:color="auto" w:sz="4" w:space="0"/>
              <w:left w:val="nil"/>
              <w:bottom w:val="single" w:color="auto" w:sz="4" w:space="0"/>
              <w:right w:val="single" w:color="auto" w:sz="4" w:space="0"/>
            </w:tcBorders>
            <w:noWrap/>
            <w:vAlign w:val="center"/>
          </w:tcPr>
          <w:p w14:paraId="1AF68B93">
            <w:pPr>
              <w:widowControl/>
              <w:jc w:val="center"/>
              <w:rPr>
                <w:rFonts w:ascii="Times New Roman" w:hAnsi="Times New Roman" w:cs="Times New Roman"/>
                <w:color w:val="000000"/>
                <w:kern w:val="0"/>
                <w:sz w:val="18"/>
                <w:szCs w:val="18"/>
              </w:rPr>
            </w:pPr>
            <w:r>
              <w:rPr>
                <w:rFonts w:hint="eastAsia" w:ascii="Times New Roman" w:hAnsi="Times New Roman" w:cs="Times New Roman"/>
                <w:color w:val="000000"/>
                <w:kern w:val="0"/>
                <w:sz w:val="18"/>
                <w:szCs w:val="18"/>
              </w:rPr>
              <w:t>水平</w:t>
            </w:r>
          </w:p>
        </w:tc>
      </w:tr>
      <w:tr w14:paraId="6B4DF6E0">
        <w:tblPrEx>
          <w:tblCellMar>
            <w:top w:w="0" w:type="dxa"/>
            <w:left w:w="108" w:type="dxa"/>
            <w:bottom w:w="0" w:type="dxa"/>
            <w:right w:w="108" w:type="dxa"/>
          </w:tblCellMar>
        </w:tblPrEx>
        <w:trPr>
          <w:trHeight w:val="363" w:hRule="atLeast"/>
          <w:jc w:val="center"/>
        </w:trPr>
        <w:tc>
          <w:tcPr>
            <w:tcW w:w="1932" w:type="pct"/>
            <w:vMerge w:val="continue"/>
            <w:tcBorders>
              <w:top w:val="single" w:color="auto" w:sz="4" w:space="0"/>
              <w:left w:val="single" w:color="auto" w:sz="4" w:space="0"/>
              <w:bottom w:val="nil"/>
              <w:right w:val="single" w:color="auto" w:sz="4" w:space="0"/>
            </w:tcBorders>
            <w:vAlign w:val="center"/>
          </w:tcPr>
          <w:p w14:paraId="0515AD58">
            <w:pPr>
              <w:widowControl/>
              <w:jc w:val="left"/>
              <w:rPr>
                <w:rFonts w:ascii="Times New Roman" w:hAnsi="Times New Roman" w:cs="Times New Roman"/>
                <w:color w:val="000000"/>
                <w:kern w:val="0"/>
                <w:sz w:val="18"/>
                <w:szCs w:val="18"/>
              </w:rPr>
            </w:pPr>
          </w:p>
        </w:tc>
        <w:tc>
          <w:tcPr>
            <w:tcW w:w="1360" w:type="pct"/>
            <w:tcBorders>
              <w:top w:val="single" w:color="auto" w:sz="4" w:space="0"/>
              <w:left w:val="nil"/>
              <w:bottom w:val="single" w:color="auto" w:sz="4" w:space="0"/>
              <w:right w:val="single" w:color="auto" w:sz="4" w:space="0"/>
            </w:tcBorders>
            <w:noWrap/>
          </w:tcPr>
          <w:p w14:paraId="2BA7B541">
            <w:pPr>
              <w:jc w:val="center"/>
              <w:rPr>
                <w:rFonts w:ascii="Times New Roman" w:hAnsi="Times New Roman" w:cs="Times New Roman"/>
                <w:sz w:val="18"/>
                <w:szCs w:val="18"/>
              </w:rPr>
            </w:pPr>
            <w:r>
              <w:rPr>
                <w:rFonts w:ascii="Times New Roman" w:hAnsi="Times New Roman" w:cs="Times New Roman"/>
                <w:color w:val="000000"/>
                <w:kern w:val="0"/>
                <w:sz w:val="18"/>
                <w:szCs w:val="18"/>
              </w:rPr>
              <w:t>1</w:t>
            </w:r>
          </w:p>
        </w:tc>
        <w:tc>
          <w:tcPr>
            <w:tcW w:w="1707" w:type="pct"/>
            <w:tcBorders>
              <w:top w:val="single" w:color="auto" w:sz="4" w:space="0"/>
              <w:left w:val="nil"/>
              <w:bottom w:val="single" w:color="auto" w:sz="4" w:space="0"/>
              <w:right w:val="single" w:color="auto" w:sz="4" w:space="0"/>
            </w:tcBorders>
            <w:noWrap/>
          </w:tcPr>
          <w:p w14:paraId="5BE13F80">
            <w:pPr>
              <w:jc w:val="center"/>
              <w:rPr>
                <w:rFonts w:ascii="Times New Roman" w:hAnsi="Times New Roman" w:cs="Times New Roman"/>
                <w:sz w:val="18"/>
                <w:szCs w:val="18"/>
              </w:rPr>
            </w:pPr>
            <w:r>
              <w:rPr>
                <w:rFonts w:ascii="Times New Roman" w:hAnsi="Times New Roman" w:cs="Times New Roman"/>
                <w:color w:val="000000"/>
                <w:kern w:val="0"/>
                <w:sz w:val="18"/>
                <w:szCs w:val="18"/>
              </w:rPr>
              <w:t>2</w:t>
            </w:r>
          </w:p>
        </w:tc>
      </w:tr>
      <w:tr w14:paraId="4FC3008D">
        <w:tblPrEx>
          <w:tblCellMar>
            <w:top w:w="0" w:type="dxa"/>
            <w:left w:w="108" w:type="dxa"/>
            <w:bottom w:w="0" w:type="dxa"/>
            <w:right w:w="108" w:type="dxa"/>
          </w:tblCellMar>
        </w:tblPrEx>
        <w:trPr>
          <w:trHeight w:val="363" w:hRule="atLeast"/>
          <w:jc w:val="center"/>
        </w:trPr>
        <w:tc>
          <w:tcPr>
            <w:tcW w:w="1932" w:type="pct"/>
            <w:tcBorders>
              <w:top w:val="single" w:color="auto" w:sz="4" w:space="0"/>
              <w:left w:val="single" w:color="auto" w:sz="4" w:space="0"/>
              <w:bottom w:val="single" w:color="auto" w:sz="4" w:space="0"/>
              <w:right w:val="single" w:color="auto" w:sz="4" w:space="0"/>
            </w:tcBorders>
            <w:noWrap/>
            <w:vAlign w:val="center"/>
          </w:tcPr>
          <w:p w14:paraId="2904E65D">
            <w:pPr>
              <w:widowControl/>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 xml:space="preserve">    </w:t>
            </w:r>
            <w:r>
              <w:rPr>
                <w:rFonts w:hint="eastAsia" w:ascii="Times New Roman" w:hAnsi="Times New Roman" w:cs="Times New Roman"/>
                <w:color w:val="000000"/>
                <w:kern w:val="0"/>
                <w:sz w:val="18"/>
                <w:szCs w:val="18"/>
              </w:rPr>
              <w:t>参加实验室数目（</w:t>
            </w:r>
            <w:r>
              <w:rPr>
                <w:rStyle w:val="40"/>
                <w:i/>
                <w:iCs/>
                <w:sz w:val="18"/>
                <w:szCs w:val="18"/>
              </w:rPr>
              <w:t>p</w:t>
            </w:r>
            <w:r>
              <w:rPr>
                <w:rStyle w:val="42"/>
                <w:rFonts w:hint="default" w:ascii="Times New Roman" w:hAnsi="Times New Roman" w:cs="Times New Roman"/>
                <w:sz w:val="18"/>
                <w:szCs w:val="18"/>
              </w:rPr>
              <w:t>）</w:t>
            </w:r>
          </w:p>
        </w:tc>
        <w:tc>
          <w:tcPr>
            <w:tcW w:w="1360" w:type="pct"/>
            <w:tcBorders>
              <w:top w:val="single" w:color="auto" w:sz="4" w:space="0"/>
              <w:left w:val="nil"/>
              <w:bottom w:val="single" w:color="auto" w:sz="4" w:space="0"/>
              <w:right w:val="single" w:color="auto" w:sz="4" w:space="0"/>
            </w:tcBorders>
            <w:noWrap/>
            <w:vAlign w:val="center"/>
          </w:tcPr>
          <w:p w14:paraId="3C064258">
            <w:pPr>
              <w:jc w:val="center"/>
              <w:rPr>
                <w:rFonts w:ascii="Times New Roman" w:hAnsi="Times New Roman" w:cs="Times New Roman"/>
                <w:sz w:val="18"/>
                <w:szCs w:val="18"/>
              </w:rPr>
            </w:pPr>
            <w:r>
              <w:rPr>
                <w:rFonts w:ascii="Times New Roman" w:hAnsi="Times New Roman" w:cs="Times New Roman"/>
                <w:sz w:val="18"/>
                <w:szCs w:val="18"/>
              </w:rPr>
              <w:t>8</w:t>
            </w:r>
          </w:p>
        </w:tc>
        <w:tc>
          <w:tcPr>
            <w:tcW w:w="1707" w:type="pct"/>
            <w:tcBorders>
              <w:top w:val="single" w:color="auto" w:sz="4" w:space="0"/>
              <w:left w:val="nil"/>
              <w:bottom w:val="single" w:color="auto" w:sz="4" w:space="0"/>
              <w:right w:val="single" w:color="auto" w:sz="4" w:space="0"/>
            </w:tcBorders>
            <w:noWrap/>
          </w:tcPr>
          <w:p w14:paraId="572C0B86">
            <w:pPr>
              <w:jc w:val="center"/>
              <w:rPr>
                <w:rFonts w:ascii="Times New Roman" w:hAnsi="Times New Roman" w:cs="Times New Roman"/>
                <w:sz w:val="18"/>
                <w:szCs w:val="18"/>
              </w:rPr>
            </w:pPr>
            <w:r>
              <w:rPr>
                <w:rFonts w:ascii="Times New Roman" w:hAnsi="Times New Roman" w:cs="Times New Roman"/>
                <w:sz w:val="18"/>
                <w:szCs w:val="18"/>
              </w:rPr>
              <w:t>8</w:t>
            </w:r>
          </w:p>
        </w:tc>
      </w:tr>
      <w:tr w14:paraId="2ABE6B02">
        <w:tblPrEx>
          <w:tblCellMar>
            <w:top w:w="0" w:type="dxa"/>
            <w:left w:w="108" w:type="dxa"/>
            <w:bottom w:w="0" w:type="dxa"/>
            <w:right w:w="108" w:type="dxa"/>
          </w:tblCellMar>
        </w:tblPrEx>
        <w:trPr>
          <w:trHeight w:val="363" w:hRule="atLeast"/>
          <w:jc w:val="center"/>
        </w:trPr>
        <w:tc>
          <w:tcPr>
            <w:tcW w:w="1932" w:type="pct"/>
            <w:tcBorders>
              <w:top w:val="nil"/>
              <w:left w:val="single" w:color="auto" w:sz="4" w:space="0"/>
              <w:bottom w:val="single" w:color="auto" w:sz="4" w:space="0"/>
              <w:right w:val="single" w:color="auto" w:sz="4" w:space="0"/>
            </w:tcBorders>
            <w:noWrap/>
            <w:vAlign w:val="center"/>
          </w:tcPr>
          <w:p w14:paraId="06F8F825">
            <w:pPr>
              <w:widowControl/>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 xml:space="preserve">    </w:t>
            </w:r>
            <w:r>
              <w:rPr>
                <w:rFonts w:hint="eastAsia" w:ascii="Times New Roman" w:hAnsi="Times New Roman" w:cs="Times New Roman"/>
                <w:color w:val="000000"/>
                <w:kern w:val="0"/>
                <w:sz w:val="18"/>
                <w:szCs w:val="18"/>
              </w:rPr>
              <w:t>有效实验室数目（</w:t>
            </w:r>
            <w:r>
              <w:rPr>
                <w:rStyle w:val="40"/>
                <w:i/>
                <w:iCs/>
                <w:sz w:val="18"/>
                <w:szCs w:val="18"/>
              </w:rPr>
              <w:t>p</w:t>
            </w:r>
            <w:r>
              <w:rPr>
                <w:rStyle w:val="42"/>
                <w:rFonts w:hint="default" w:ascii="Times New Roman" w:hAnsi="Times New Roman" w:cs="Times New Roman"/>
                <w:sz w:val="18"/>
                <w:szCs w:val="18"/>
              </w:rPr>
              <w:t>）</w:t>
            </w:r>
          </w:p>
        </w:tc>
        <w:tc>
          <w:tcPr>
            <w:tcW w:w="1360" w:type="pct"/>
            <w:tcBorders>
              <w:top w:val="nil"/>
              <w:left w:val="nil"/>
              <w:bottom w:val="single" w:color="auto" w:sz="4" w:space="0"/>
              <w:right w:val="single" w:color="auto" w:sz="4" w:space="0"/>
            </w:tcBorders>
            <w:noWrap/>
          </w:tcPr>
          <w:p w14:paraId="18544B88">
            <w:pPr>
              <w:jc w:val="center"/>
              <w:rPr>
                <w:rFonts w:ascii="Times New Roman" w:hAnsi="Times New Roman" w:cs="Times New Roman"/>
                <w:sz w:val="18"/>
                <w:szCs w:val="18"/>
              </w:rPr>
            </w:pPr>
            <w:r>
              <w:rPr>
                <w:rFonts w:ascii="Times New Roman" w:hAnsi="Times New Roman" w:cs="Times New Roman"/>
                <w:sz w:val="18"/>
                <w:szCs w:val="18"/>
              </w:rPr>
              <w:t>8</w:t>
            </w:r>
          </w:p>
        </w:tc>
        <w:tc>
          <w:tcPr>
            <w:tcW w:w="1707" w:type="pct"/>
            <w:tcBorders>
              <w:top w:val="nil"/>
              <w:left w:val="nil"/>
              <w:bottom w:val="single" w:color="auto" w:sz="4" w:space="0"/>
              <w:right w:val="single" w:color="auto" w:sz="4" w:space="0"/>
            </w:tcBorders>
            <w:noWrap/>
          </w:tcPr>
          <w:p w14:paraId="74E25AB3">
            <w:pPr>
              <w:jc w:val="center"/>
              <w:rPr>
                <w:rFonts w:ascii="Times New Roman" w:hAnsi="Times New Roman" w:cs="Times New Roman"/>
                <w:sz w:val="18"/>
                <w:szCs w:val="18"/>
              </w:rPr>
            </w:pPr>
            <w:r>
              <w:rPr>
                <w:rFonts w:ascii="Times New Roman" w:hAnsi="Times New Roman" w:cs="Times New Roman"/>
                <w:sz w:val="18"/>
                <w:szCs w:val="18"/>
              </w:rPr>
              <w:t>8</w:t>
            </w:r>
          </w:p>
        </w:tc>
      </w:tr>
      <w:tr w14:paraId="6DBFADEB">
        <w:tblPrEx>
          <w:tblCellMar>
            <w:top w:w="0" w:type="dxa"/>
            <w:left w:w="108" w:type="dxa"/>
            <w:bottom w:w="0" w:type="dxa"/>
            <w:right w:w="108" w:type="dxa"/>
          </w:tblCellMar>
        </w:tblPrEx>
        <w:trPr>
          <w:trHeight w:val="363" w:hRule="atLeast"/>
          <w:jc w:val="center"/>
        </w:trPr>
        <w:tc>
          <w:tcPr>
            <w:tcW w:w="1932" w:type="pct"/>
            <w:tcBorders>
              <w:top w:val="nil"/>
              <w:left w:val="single" w:color="auto" w:sz="4" w:space="0"/>
              <w:bottom w:val="single" w:color="auto" w:sz="4" w:space="0"/>
              <w:right w:val="single" w:color="auto" w:sz="4" w:space="0"/>
            </w:tcBorders>
            <w:noWrap/>
            <w:vAlign w:val="center"/>
          </w:tcPr>
          <w:p w14:paraId="661BE771">
            <w:pPr>
              <w:jc w:val="center"/>
              <w:rPr>
                <w:rFonts w:ascii="Times New Roman" w:hAnsi="Times New Roman" w:cs="Times New Roman"/>
                <w:color w:val="000000"/>
                <w:kern w:val="0"/>
                <w:sz w:val="18"/>
                <w:szCs w:val="18"/>
              </w:rPr>
            </w:pPr>
            <w:r>
              <w:rPr>
                <w:rFonts w:hint="eastAsia" w:ascii="Times New Roman" w:hAnsi="Times New Roman" w:cs="Times New Roman"/>
                <w:color w:val="000000"/>
                <w:kern w:val="0"/>
                <w:sz w:val="18"/>
                <w:szCs w:val="18"/>
              </w:rPr>
              <w:t>总平均值（</w:t>
            </w:r>
            <w:r>
              <w:rPr>
                <w:kern w:val="0"/>
                <w:position w:val="-10"/>
                <w:szCs w:val="21"/>
                <w:lang w:bidi="ar"/>
              </w:rPr>
              <w:object>
                <v:shape id="_x0000_i1025" o:spt="75" type="#_x0000_t75" style="height:13.15pt;width:6.9pt;" o:ole="t" filled="f" o:preferrelative="t" stroked="f" coordsize="21600,21600">
                  <v:path/>
                  <v:fill on="f" focussize="0,0"/>
                  <v:stroke on="f" joinstyle="miter"/>
                  <v:imagedata r:id="rId9" o:title=""/>
                  <o:lock v:ext="edit" aspectratio="t"/>
                  <w10:wrap type="none"/>
                  <w10:anchorlock/>
                </v:shape>
                <o:OLEObject Type="Embed" ProgID="Equation.KSEE3" ShapeID="_x0000_i1025" DrawAspect="Content" ObjectID="_1468075725" r:id="rId8">
                  <o:LockedField>false</o:LockedField>
                </o:OLEObject>
              </w:object>
            </w:r>
            <w:r>
              <w:rPr>
                <w:rFonts w:ascii="Times New Roman" w:hAnsi="Times New Roman" w:cs="Times New Roman"/>
              </w:rPr>
              <w:fldChar w:fldCharType="begin"/>
            </w:r>
            <w:r>
              <w:rPr>
                <w:rFonts w:ascii="Times New Roman" w:hAnsi="Times New Roman" w:cs="Times New Roman"/>
              </w:rPr>
              <w:instrText xml:space="preserve"> INCLUDEPICTURE  "H:\\</w:instrText>
            </w:r>
            <w:r>
              <w:rPr>
                <w:rFonts w:hint="eastAsia" w:ascii="Times New Roman" w:hAnsi="Times New Roman" w:cs="Times New Roman"/>
              </w:rPr>
              <w:instrText xml:space="preserve">我的坚果云</w:instrText>
            </w:r>
            <w:r>
              <w:rPr>
                <w:rFonts w:ascii="Times New Roman" w:hAnsi="Times New Roman" w:cs="Times New Roman"/>
              </w:rPr>
              <w:instrText xml:space="preserve">\\</w:instrText>
            </w:r>
            <w:r>
              <w:rPr>
                <w:rFonts w:hint="eastAsia" w:ascii="Times New Roman" w:hAnsi="Times New Roman" w:cs="Times New Roman"/>
              </w:rPr>
              <w:instrText xml:space="preserve">项目申请</w:instrText>
            </w:r>
            <w:r>
              <w:rPr>
                <w:rFonts w:ascii="Times New Roman" w:hAnsi="Times New Roman" w:cs="Times New Roman"/>
              </w:rPr>
              <w:instrText xml:space="preserve">\\AppData\\Local\\Temp\\ksohtml\\wps5B96.tmp.jpg"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"F:\\AppData\\Local\\Temp\\ksohtml\\wps5B96.tmp.jpg"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"F:\\AppData\\Local\\Temp\\ksohtml\\wps5B96.tmp.jpg"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"H:\\</w:instrText>
            </w:r>
            <w:r>
              <w:rPr>
                <w:rFonts w:hint="eastAsia" w:ascii="Times New Roman" w:hAnsi="Times New Roman" w:cs="Times New Roman"/>
              </w:rPr>
              <w:instrText xml:space="preserve">我的坚果云</w:instrText>
            </w:r>
            <w:r>
              <w:rPr>
                <w:rFonts w:ascii="Times New Roman" w:hAnsi="Times New Roman" w:cs="Times New Roman"/>
              </w:rPr>
              <w:instrText xml:space="preserve">\\</w:instrText>
            </w:r>
            <w:r>
              <w:rPr>
                <w:rFonts w:hint="eastAsia" w:ascii="Times New Roman" w:hAnsi="Times New Roman" w:cs="Times New Roman"/>
              </w:rPr>
              <w:instrText xml:space="preserve">项目申请</w:instrText>
            </w:r>
            <w:r>
              <w:rPr>
                <w:rFonts w:ascii="Times New Roman" w:hAnsi="Times New Roman" w:cs="Times New Roman"/>
              </w:rPr>
              <w:instrText xml:space="preserve">\\2021\\AppData\\Local\\Temp\\ksohtml\\wps5B96.tmp.jpg" \* MERGEFORMATINET </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Style w:val="40"/>
                <w:rFonts w:ascii="Times New Roman" w:hAnsi="Times New Roman"/>
                <w:sz w:val="18"/>
                <w:szCs w:val="18"/>
              </w:rPr>
              <w:t>）</w:t>
            </w:r>
            <w:r>
              <w:rPr>
                <w:rStyle w:val="42"/>
                <w:rFonts w:hint="default" w:ascii="Times New Roman" w:hAnsi="Times New Roman" w:cs="Times New Roman"/>
                <w:sz w:val="18"/>
                <w:szCs w:val="18"/>
              </w:rPr>
              <w:t>/</w:t>
            </w:r>
            <w:r>
              <w:rPr>
                <w:rFonts w:hint="eastAsia" w:ascii="Times New Roman" w:hAnsi="Times New Roman" w:cs="Times New Roman"/>
                <w:color w:val="000000"/>
                <w:kern w:val="0"/>
                <w:sz w:val="18"/>
                <w:szCs w:val="18"/>
              </w:rPr>
              <w:t>（</w:t>
            </w:r>
            <w:r>
              <w:rPr>
                <w:rFonts w:ascii="Times New Roman" w:hAnsi="Times New Roman" w:cs="Times New Roman"/>
                <w:color w:val="000000"/>
                <w:kern w:val="0"/>
                <w:sz w:val="18"/>
                <w:szCs w:val="18"/>
              </w:rPr>
              <w:t>mg/kg）</w:t>
            </w:r>
          </w:p>
        </w:tc>
        <w:tc>
          <w:tcPr>
            <w:tcW w:w="1360" w:type="pct"/>
            <w:tcBorders>
              <w:top w:val="nil"/>
              <w:left w:val="nil"/>
              <w:bottom w:val="single" w:color="auto" w:sz="4" w:space="0"/>
              <w:right w:val="single" w:color="auto" w:sz="4" w:space="0"/>
            </w:tcBorders>
            <w:noWrap/>
            <w:vAlign w:val="center"/>
          </w:tcPr>
          <w:p w14:paraId="578AD156">
            <w:pPr>
              <w:jc w:val="center"/>
              <w:rPr>
                <w:rFonts w:ascii="Times New Roman" w:hAnsi="Times New Roman" w:cs="Times New Roman"/>
                <w:sz w:val="18"/>
                <w:szCs w:val="18"/>
              </w:rPr>
            </w:pPr>
            <w:r>
              <w:rPr>
                <w:rFonts w:ascii="Times New Roman" w:hAnsi="Times New Roman" w:cs="Times New Roman"/>
                <w:sz w:val="18"/>
                <w:szCs w:val="18"/>
              </w:rPr>
              <w:t>0.014</w:t>
            </w:r>
            <w:r>
              <w:rPr>
                <w:rFonts w:hint="eastAsia" w:ascii="Times New Roman" w:hAnsi="Times New Roman" w:cs="Times New Roman"/>
                <w:sz w:val="18"/>
                <w:szCs w:val="18"/>
              </w:rPr>
              <w:t xml:space="preserve"> </w:t>
            </w:r>
            <w:r>
              <w:rPr>
                <w:rFonts w:ascii="Times New Roman" w:hAnsi="Times New Roman" w:cs="Times New Roman"/>
                <w:sz w:val="18"/>
                <w:szCs w:val="18"/>
              </w:rPr>
              <w:t>4</w:t>
            </w:r>
          </w:p>
        </w:tc>
        <w:tc>
          <w:tcPr>
            <w:tcW w:w="1707" w:type="pct"/>
            <w:tcBorders>
              <w:top w:val="nil"/>
              <w:left w:val="nil"/>
              <w:bottom w:val="single" w:color="auto" w:sz="4" w:space="0"/>
              <w:right w:val="single" w:color="auto" w:sz="4" w:space="0"/>
            </w:tcBorders>
            <w:noWrap/>
            <w:vAlign w:val="center"/>
          </w:tcPr>
          <w:p w14:paraId="038DB0AE">
            <w:pPr>
              <w:jc w:val="center"/>
              <w:rPr>
                <w:rFonts w:ascii="Times New Roman" w:hAnsi="Times New Roman" w:cs="Times New Roman"/>
                <w:sz w:val="18"/>
                <w:szCs w:val="18"/>
              </w:rPr>
            </w:pPr>
            <w:r>
              <w:rPr>
                <w:rFonts w:ascii="Times New Roman" w:hAnsi="Times New Roman" w:cs="Times New Roman"/>
                <w:sz w:val="18"/>
                <w:szCs w:val="18"/>
              </w:rPr>
              <w:t>0.005</w:t>
            </w:r>
            <w:r>
              <w:rPr>
                <w:rFonts w:hint="eastAsia" w:ascii="Times New Roman" w:hAnsi="Times New Roman" w:cs="Times New Roman"/>
                <w:sz w:val="18"/>
                <w:szCs w:val="18"/>
              </w:rPr>
              <w:t xml:space="preserve"> </w:t>
            </w:r>
            <w:r>
              <w:rPr>
                <w:rFonts w:ascii="Times New Roman" w:hAnsi="Times New Roman" w:cs="Times New Roman"/>
                <w:sz w:val="18"/>
                <w:szCs w:val="18"/>
              </w:rPr>
              <w:t>0</w:t>
            </w:r>
          </w:p>
        </w:tc>
      </w:tr>
      <w:tr w14:paraId="71201FF9">
        <w:tblPrEx>
          <w:tblCellMar>
            <w:top w:w="0" w:type="dxa"/>
            <w:left w:w="108" w:type="dxa"/>
            <w:bottom w:w="0" w:type="dxa"/>
            <w:right w:w="108" w:type="dxa"/>
          </w:tblCellMar>
        </w:tblPrEx>
        <w:trPr>
          <w:trHeight w:val="363" w:hRule="atLeast"/>
          <w:jc w:val="center"/>
        </w:trPr>
        <w:tc>
          <w:tcPr>
            <w:tcW w:w="1932" w:type="pct"/>
            <w:tcBorders>
              <w:top w:val="nil"/>
              <w:left w:val="single" w:color="auto" w:sz="4" w:space="0"/>
              <w:bottom w:val="single" w:color="auto" w:sz="4" w:space="0"/>
              <w:right w:val="single" w:color="auto" w:sz="4" w:space="0"/>
            </w:tcBorders>
            <w:noWrap/>
            <w:vAlign w:val="center"/>
          </w:tcPr>
          <w:p w14:paraId="6D7FFEBD">
            <w:pPr>
              <w:widowControl/>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 xml:space="preserve">   </w:t>
            </w:r>
            <w:r>
              <w:rPr>
                <w:rFonts w:hint="eastAsia" w:ascii="Times New Roman" w:hAnsi="Times New Roman" w:cs="Times New Roman"/>
                <w:color w:val="000000"/>
                <w:kern w:val="0"/>
                <w:sz w:val="18"/>
                <w:szCs w:val="18"/>
              </w:rPr>
              <w:t>重复性标准差（</w:t>
            </w:r>
            <w:r>
              <w:rPr>
                <w:rStyle w:val="40"/>
                <w:rFonts w:hint="eastAsia"/>
                <w:i/>
                <w:iCs/>
                <w:sz w:val="18"/>
                <w:szCs w:val="18"/>
              </w:rPr>
              <w:t>s</w:t>
            </w:r>
            <w:r>
              <w:rPr>
                <w:rStyle w:val="40"/>
                <w:i/>
                <w:iCs/>
                <w:sz w:val="18"/>
                <w:szCs w:val="18"/>
                <w:vertAlign w:val="subscript"/>
              </w:rPr>
              <w:t>r</w:t>
            </w:r>
            <w:r>
              <w:rPr>
                <w:rFonts w:hint="eastAsia" w:ascii="Times New Roman" w:hAnsi="Times New Roman" w:cs="Times New Roman"/>
                <w:color w:val="000000"/>
                <w:kern w:val="0"/>
                <w:sz w:val="18"/>
                <w:szCs w:val="18"/>
              </w:rPr>
              <w:t>）（</w:t>
            </w:r>
            <w:r>
              <w:rPr>
                <w:rFonts w:ascii="Times New Roman" w:hAnsi="Times New Roman" w:cs="Times New Roman"/>
                <w:color w:val="000000"/>
                <w:kern w:val="0"/>
                <w:sz w:val="18"/>
                <w:szCs w:val="18"/>
              </w:rPr>
              <w:t>mg/kg）</w:t>
            </w:r>
          </w:p>
        </w:tc>
        <w:tc>
          <w:tcPr>
            <w:tcW w:w="1360" w:type="pct"/>
            <w:tcBorders>
              <w:top w:val="nil"/>
              <w:left w:val="nil"/>
              <w:bottom w:val="single" w:color="auto" w:sz="4" w:space="0"/>
              <w:right w:val="single" w:color="auto" w:sz="4" w:space="0"/>
            </w:tcBorders>
            <w:noWrap/>
            <w:vAlign w:val="center"/>
          </w:tcPr>
          <w:p w14:paraId="625C87ED">
            <w:pPr>
              <w:jc w:val="center"/>
              <w:rPr>
                <w:rFonts w:ascii="Times New Roman" w:hAnsi="Times New Roman" w:cs="Times New Roman"/>
                <w:sz w:val="18"/>
                <w:szCs w:val="18"/>
              </w:rPr>
            </w:pPr>
            <w:r>
              <w:rPr>
                <w:rFonts w:ascii="Times New Roman" w:hAnsi="Times New Roman" w:cs="Times New Roman"/>
                <w:sz w:val="18"/>
                <w:szCs w:val="18"/>
              </w:rPr>
              <w:t>0.000</w:t>
            </w:r>
            <w:r>
              <w:rPr>
                <w:rFonts w:hint="eastAsia" w:ascii="Times New Roman" w:hAnsi="Times New Roman" w:cs="Times New Roman"/>
                <w:sz w:val="18"/>
                <w:szCs w:val="18"/>
              </w:rPr>
              <w:t xml:space="preserve"> </w:t>
            </w:r>
            <w:r>
              <w:rPr>
                <w:rFonts w:ascii="Times New Roman" w:hAnsi="Times New Roman" w:cs="Times New Roman"/>
                <w:sz w:val="18"/>
                <w:szCs w:val="18"/>
              </w:rPr>
              <w:t>5</w:t>
            </w:r>
          </w:p>
        </w:tc>
        <w:tc>
          <w:tcPr>
            <w:tcW w:w="1707" w:type="pct"/>
            <w:tcBorders>
              <w:top w:val="nil"/>
              <w:left w:val="nil"/>
              <w:bottom w:val="single" w:color="auto" w:sz="4" w:space="0"/>
              <w:right w:val="single" w:color="auto" w:sz="4" w:space="0"/>
            </w:tcBorders>
            <w:noWrap/>
            <w:vAlign w:val="center"/>
          </w:tcPr>
          <w:p w14:paraId="12D78543">
            <w:pPr>
              <w:jc w:val="center"/>
              <w:rPr>
                <w:rFonts w:ascii="Times New Roman" w:hAnsi="Times New Roman" w:cs="Times New Roman"/>
                <w:sz w:val="18"/>
                <w:szCs w:val="18"/>
              </w:rPr>
            </w:pPr>
            <w:r>
              <w:rPr>
                <w:rFonts w:ascii="Times New Roman" w:hAnsi="Times New Roman" w:cs="Times New Roman"/>
                <w:sz w:val="18"/>
                <w:szCs w:val="18"/>
              </w:rPr>
              <w:t>0.000</w:t>
            </w:r>
            <w:r>
              <w:rPr>
                <w:rFonts w:hint="eastAsia" w:ascii="Times New Roman" w:hAnsi="Times New Roman" w:cs="Times New Roman"/>
                <w:sz w:val="18"/>
                <w:szCs w:val="18"/>
              </w:rPr>
              <w:t xml:space="preserve"> </w:t>
            </w:r>
            <w:r>
              <w:rPr>
                <w:rFonts w:ascii="Times New Roman" w:hAnsi="Times New Roman" w:cs="Times New Roman"/>
                <w:sz w:val="18"/>
                <w:szCs w:val="18"/>
              </w:rPr>
              <w:t>3</w:t>
            </w:r>
          </w:p>
        </w:tc>
      </w:tr>
      <w:tr w14:paraId="18406F97">
        <w:tblPrEx>
          <w:tblCellMar>
            <w:top w:w="0" w:type="dxa"/>
            <w:left w:w="108" w:type="dxa"/>
            <w:bottom w:w="0" w:type="dxa"/>
            <w:right w:w="108" w:type="dxa"/>
          </w:tblCellMar>
        </w:tblPrEx>
        <w:trPr>
          <w:trHeight w:val="363" w:hRule="atLeast"/>
          <w:jc w:val="center"/>
        </w:trPr>
        <w:tc>
          <w:tcPr>
            <w:tcW w:w="1932" w:type="pct"/>
            <w:tcBorders>
              <w:top w:val="nil"/>
              <w:left w:val="single" w:color="auto" w:sz="4" w:space="0"/>
              <w:bottom w:val="single" w:color="auto" w:sz="4" w:space="0"/>
              <w:right w:val="single" w:color="auto" w:sz="4" w:space="0"/>
            </w:tcBorders>
            <w:noWrap/>
            <w:vAlign w:val="center"/>
          </w:tcPr>
          <w:p w14:paraId="78777BFB">
            <w:pPr>
              <w:widowControl/>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 xml:space="preserve">   </w:t>
            </w:r>
            <w:r>
              <w:rPr>
                <w:rFonts w:hint="eastAsia" w:ascii="Times New Roman" w:hAnsi="Times New Roman" w:cs="Times New Roman"/>
                <w:color w:val="000000"/>
                <w:kern w:val="0"/>
                <w:sz w:val="18"/>
                <w:szCs w:val="18"/>
              </w:rPr>
              <w:t>再现性标准差（</w:t>
            </w:r>
            <w:r>
              <w:rPr>
                <w:rStyle w:val="40"/>
                <w:rFonts w:hint="eastAsia"/>
                <w:i/>
                <w:iCs/>
                <w:sz w:val="18"/>
                <w:szCs w:val="18"/>
              </w:rPr>
              <w:t>s</w:t>
            </w:r>
            <w:r>
              <w:rPr>
                <w:rStyle w:val="40"/>
                <w:i/>
                <w:iCs/>
                <w:sz w:val="18"/>
                <w:szCs w:val="18"/>
                <w:vertAlign w:val="subscript"/>
              </w:rPr>
              <w:t>R</w:t>
            </w:r>
            <w:r>
              <w:rPr>
                <w:rFonts w:hint="eastAsia" w:ascii="Times New Roman" w:hAnsi="Times New Roman" w:cs="Times New Roman"/>
                <w:color w:val="000000"/>
                <w:kern w:val="0"/>
                <w:sz w:val="18"/>
                <w:szCs w:val="18"/>
              </w:rPr>
              <w:t>）（</w:t>
            </w:r>
            <w:r>
              <w:rPr>
                <w:rFonts w:ascii="Times New Roman" w:hAnsi="Times New Roman" w:cs="Times New Roman"/>
                <w:color w:val="000000"/>
                <w:kern w:val="0"/>
                <w:sz w:val="18"/>
                <w:szCs w:val="18"/>
              </w:rPr>
              <w:t>mg/kg）</w:t>
            </w:r>
          </w:p>
        </w:tc>
        <w:tc>
          <w:tcPr>
            <w:tcW w:w="1360" w:type="pct"/>
            <w:tcBorders>
              <w:top w:val="nil"/>
              <w:left w:val="nil"/>
              <w:bottom w:val="single" w:color="auto" w:sz="4" w:space="0"/>
              <w:right w:val="single" w:color="auto" w:sz="4" w:space="0"/>
            </w:tcBorders>
            <w:noWrap/>
            <w:vAlign w:val="center"/>
          </w:tcPr>
          <w:p w14:paraId="1ADC3503">
            <w:pPr>
              <w:jc w:val="center"/>
              <w:rPr>
                <w:rFonts w:ascii="Times New Roman" w:hAnsi="Times New Roman" w:cs="Times New Roman"/>
                <w:sz w:val="18"/>
                <w:szCs w:val="18"/>
              </w:rPr>
            </w:pPr>
            <w:r>
              <w:rPr>
                <w:rFonts w:ascii="Times New Roman" w:hAnsi="Times New Roman" w:cs="Times New Roman"/>
                <w:sz w:val="18"/>
                <w:szCs w:val="18"/>
              </w:rPr>
              <w:t>0.002</w:t>
            </w:r>
            <w:r>
              <w:rPr>
                <w:rFonts w:hint="eastAsia" w:ascii="Times New Roman" w:hAnsi="Times New Roman" w:cs="Times New Roman"/>
                <w:sz w:val="18"/>
                <w:szCs w:val="18"/>
              </w:rPr>
              <w:t xml:space="preserve"> </w:t>
            </w:r>
            <w:r>
              <w:rPr>
                <w:rFonts w:ascii="Times New Roman" w:hAnsi="Times New Roman" w:cs="Times New Roman"/>
                <w:sz w:val="18"/>
                <w:szCs w:val="18"/>
              </w:rPr>
              <w:t>6</w:t>
            </w:r>
          </w:p>
        </w:tc>
        <w:tc>
          <w:tcPr>
            <w:tcW w:w="1707" w:type="pct"/>
            <w:tcBorders>
              <w:top w:val="nil"/>
              <w:left w:val="nil"/>
              <w:bottom w:val="single" w:color="auto" w:sz="4" w:space="0"/>
              <w:right w:val="single" w:color="auto" w:sz="4" w:space="0"/>
            </w:tcBorders>
            <w:noWrap/>
            <w:vAlign w:val="center"/>
          </w:tcPr>
          <w:p w14:paraId="0CEA6C11">
            <w:pPr>
              <w:jc w:val="center"/>
              <w:rPr>
                <w:rFonts w:ascii="Times New Roman" w:hAnsi="Times New Roman" w:cs="Times New Roman"/>
                <w:sz w:val="18"/>
                <w:szCs w:val="18"/>
              </w:rPr>
            </w:pPr>
            <w:r>
              <w:rPr>
                <w:rFonts w:ascii="Times New Roman" w:hAnsi="Times New Roman" w:cs="Times New Roman"/>
                <w:sz w:val="18"/>
                <w:szCs w:val="18"/>
              </w:rPr>
              <w:t>0.001</w:t>
            </w:r>
            <w:r>
              <w:rPr>
                <w:rFonts w:hint="eastAsia" w:ascii="Times New Roman" w:hAnsi="Times New Roman" w:cs="Times New Roman"/>
                <w:sz w:val="18"/>
                <w:szCs w:val="18"/>
              </w:rPr>
              <w:t xml:space="preserve"> </w:t>
            </w:r>
            <w:r>
              <w:rPr>
                <w:rFonts w:ascii="Times New Roman" w:hAnsi="Times New Roman" w:cs="Times New Roman"/>
                <w:sz w:val="18"/>
                <w:szCs w:val="18"/>
              </w:rPr>
              <w:t>3</w:t>
            </w:r>
          </w:p>
        </w:tc>
      </w:tr>
      <w:tr w14:paraId="23F200A2">
        <w:tblPrEx>
          <w:tblCellMar>
            <w:top w:w="0" w:type="dxa"/>
            <w:left w:w="108" w:type="dxa"/>
            <w:bottom w:w="0" w:type="dxa"/>
            <w:right w:w="108" w:type="dxa"/>
          </w:tblCellMar>
        </w:tblPrEx>
        <w:trPr>
          <w:trHeight w:val="363" w:hRule="atLeast"/>
          <w:jc w:val="center"/>
        </w:trPr>
        <w:tc>
          <w:tcPr>
            <w:tcW w:w="1932" w:type="pct"/>
            <w:tcBorders>
              <w:top w:val="nil"/>
              <w:left w:val="single" w:color="auto" w:sz="4" w:space="0"/>
              <w:bottom w:val="single" w:color="auto" w:sz="4" w:space="0"/>
              <w:right w:val="single" w:color="auto" w:sz="4" w:space="0"/>
            </w:tcBorders>
            <w:noWrap/>
            <w:vAlign w:val="center"/>
          </w:tcPr>
          <w:p w14:paraId="7B05BC28">
            <w:pPr>
              <w:widowControl/>
              <w:jc w:val="center"/>
              <w:rPr>
                <w:rFonts w:ascii="Times New Roman" w:hAnsi="Times New Roman" w:cs="Times New Roman"/>
                <w:color w:val="000000"/>
                <w:kern w:val="0"/>
                <w:sz w:val="18"/>
                <w:szCs w:val="18"/>
              </w:rPr>
            </w:pPr>
            <w:r>
              <w:rPr>
                <w:rFonts w:hint="eastAsia" w:ascii="Times New Roman" w:hAnsi="Times New Roman" w:cs="Times New Roman"/>
                <w:color w:val="000000"/>
                <w:kern w:val="0"/>
                <w:sz w:val="18"/>
                <w:szCs w:val="18"/>
              </w:rPr>
              <w:t>测量方法偏倚（</w:t>
            </w:r>
            <w:r>
              <w:rPr>
                <w:rStyle w:val="40"/>
                <w:i/>
                <w:iCs/>
                <w:sz w:val="18"/>
                <w:szCs w:val="18"/>
              </w:rPr>
              <w:t>δ</w:t>
            </w:r>
            <w:r>
              <w:rPr>
                <w:rStyle w:val="42"/>
                <w:rFonts w:hint="default" w:ascii="Times New Roman" w:hAnsi="Times New Roman" w:cs="Times New Roman"/>
                <w:sz w:val="18"/>
                <w:szCs w:val="18"/>
              </w:rPr>
              <w:t>）/</w:t>
            </w:r>
            <w:r>
              <w:rPr>
                <w:rFonts w:hint="eastAsia" w:ascii="Times New Roman" w:hAnsi="Times New Roman" w:cs="Times New Roman"/>
                <w:color w:val="000000"/>
                <w:kern w:val="0"/>
                <w:sz w:val="18"/>
                <w:szCs w:val="18"/>
              </w:rPr>
              <w:t>（</w:t>
            </w:r>
            <w:r>
              <w:rPr>
                <w:rFonts w:ascii="Times New Roman" w:hAnsi="Times New Roman" w:cs="Times New Roman"/>
                <w:color w:val="000000"/>
                <w:kern w:val="0"/>
                <w:sz w:val="18"/>
                <w:szCs w:val="18"/>
              </w:rPr>
              <w:t>mg/kg）</w:t>
            </w:r>
          </w:p>
        </w:tc>
        <w:tc>
          <w:tcPr>
            <w:tcW w:w="1360" w:type="pct"/>
            <w:tcBorders>
              <w:top w:val="nil"/>
              <w:left w:val="nil"/>
              <w:bottom w:val="single" w:color="auto" w:sz="4" w:space="0"/>
              <w:right w:val="single" w:color="auto" w:sz="4" w:space="0"/>
            </w:tcBorders>
            <w:noWrap/>
            <w:vAlign w:val="center"/>
          </w:tcPr>
          <w:p w14:paraId="2610559A">
            <w:pPr>
              <w:jc w:val="center"/>
              <w:rPr>
                <w:rFonts w:ascii="Times New Roman" w:hAnsi="Times New Roman" w:cs="Times New Roman"/>
                <w:sz w:val="18"/>
                <w:szCs w:val="18"/>
              </w:rPr>
            </w:pPr>
            <w:r>
              <w:rPr>
                <w:rFonts w:ascii="Times New Roman" w:hAnsi="Times New Roman" w:cs="Times New Roman"/>
                <w:sz w:val="18"/>
                <w:szCs w:val="18"/>
              </w:rPr>
              <w:t>-0.000</w:t>
            </w:r>
            <w:r>
              <w:rPr>
                <w:rFonts w:hint="eastAsia" w:ascii="Times New Roman" w:hAnsi="Times New Roman" w:cs="Times New Roman"/>
                <w:sz w:val="18"/>
                <w:szCs w:val="18"/>
              </w:rPr>
              <w:t xml:space="preserve"> </w:t>
            </w:r>
            <w:r>
              <w:rPr>
                <w:rFonts w:ascii="Times New Roman" w:hAnsi="Times New Roman" w:cs="Times New Roman"/>
                <w:sz w:val="18"/>
                <w:szCs w:val="18"/>
              </w:rPr>
              <w:t>6</w:t>
            </w:r>
          </w:p>
        </w:tc>
        <w:tc>
          <w:tcPr>
            <w:tcW w:w="1707" w:type="pct"/>
            <w:tcBorders>
              <w:top w:val="nil"/>
              <w:left w:val="nil"/>
              <w:bottom w:val="single" w:color="auto" w:sz="4" w:space="0"/>
              <w:right w:val="single" w:color="auto" w:sz="4" w:space="0"/>
            </w:tcBorders>
            <w:noWrap/>
            <w:vAlign w:val="center"/>
          </w:tcPr>
          <w:p w14:paraId="5BB0AD37">
            <w:pPr>
              <w:jc w:val="center"/>
              <w:rPr>
                <w:rFonts w:ascii="Times New Roman" w:hAnsi="Times New Roman" w:cs="Times New Roman"/>
                <w:sz w:val="18"/>
                <w:szCs w:val="18"/>
              </w:rPr>
            </w:pPr>
            <w:r>
              <w:rPr>
                <w:rFonts w:ascii="Times New Roman" w:hAnsi="Times New Roman" w:cs="Times New Roman"/>
                <w:sz w:val="18"/>
                <w:szCs w:val="18"/>
              </w:rPr>
              <w:t>-0.001</w:t>
            </w:r>
            <w:r>
              <w:rPr>
                <w:rFonts w:hint="eastAsia" w:ascii="Times New Roman" w:hAnsi="Times New Roman" w:cs="Times New Roman"/>
                <w:sz w:val="18"/>
                <w:szCs w:val="18"/>
              </w:rPr>
              <w:t xml:space="preserve"> </w:t>
            </w:r>
            <w:r>
              <w:rPr>
                <w:rFonts w:ascii="Times New Roman" w:hAnsi="Times New Roman" w:cs="Times New Roman"/>
                <w:sz w:val="18"/>
                <w:szCs w:val="18"/>
              </w:rPr>
              <w:t>0</w:t>
            </w:r>
          </w:p>
        </w:tc>
      </w:tr>
      <w:tr w14:paraId="7A8FEAFF">
        <w:tblPrEx>
          <w:tblCellMar>
            <w:top w:w="0" w:type="dxa"/>
            <w:left w:w="108" w:type="dxa"/>
            <w:bottom w:w="0" w:type="dxa"/>
            <w:right w:w="108" w:type="dxa"/>
          </w:tblCellMar>
        </w:tblPrEx>
        <w:trPr>
          <w:trHeight w:val="363" w:hRule="atLeast"/>
          <w:jc w:val="center"/>
        </w:trPr>
        <w:tc>
          <w:tcPr>
            <w:tcW w:w="1932" w:type="pct"/>
            <w:tcBorders>
              <w:top w:val="nil"/>
              <w:left w:val="single" w:color="auto" w:sz="4" w:space="0"/>
              <w:bottom w:val="single" w:color="auto" w:sz="4" w:space="0"/>
              <w:right w:val="single" w:color="auto" w:sz="4" w:space="0"/>
            </w:tcBorders>
            <w:noWrap/>
            <w:vAlign w:val="center"/>
          </w:tcPr>
          <w:p w14:paraId="160EFEAD">
            <w:pPr>
              <w:widowControl/>
              <w:jc w:val="center"/>
              <w:rPr>
                <w:rFonts w:ascii="Times New Roman" w:hAnsi="Times New Roman" w:cs="Times New Roman"/>
                <w:color w:val="000000"/>
                <w:kern w:val="0"/>
                <w:sz w:val="18"/>
                <w:szCs w:val="18"/>
              </w:rPr>
            </w:pPr>
            <w:r>
              <w:rPr>
                <w:rFonts w:ascii="Times New Roman" w:hAnsi="Times New Roman" w:cs="Times New Roman"/>
                <w:i/>
                <w:color w:val="000000"/>
                <w:kern w:val="0"/>
                <w:sz w:val="18"/>
                <w:szCs w:val="18"/>
              </w:rPr>
              <w:t>δ</w:t>
            </w:r>
            <w:r>
              <w:rPr>
                <w:rStyle w:val="42"/>
                <w:rFonts w:hint="default" w:ascii="Times New Roman" w:hAnsi="Times New Roman" w:cs="Times New Roman"/>
                <w:sz w:val="18"/>
                <w:szCs w:val="18"/>
              </w:rPr>
              <w:t>－</w:t>
            </w:r>
            <w:r>
              <w:rPr>
                <w:rStyle w:val="40"/>
                <w:i/>
                <w:iCs/>
                <w:sz w:val="18"/>
                <w:szCs w:val="18"/>
              </w:rPr>
              <w:t>A</w:t>
            </w:r>
            <w:r>
              <w:rPr>
                <w:rStyle w:val="40"/>
                <w:rFonts w:hint="eastAsia"/>
                <w:i/>
                <w:iCs/>
                <w:sz w:val="18"/>
                <w:szCs w:val="18"/>
              </w:rPr>
              <w:t>s</w:t>
            </w:r>
            <w:r>
              <w:rPr>
                <w:rStyle w:val="43"/>
                <w:i/>
                <w:iCs/>
                <w:sz w:val="18"/>
                <w:szCs w:val="18"/>
                <w:vertAlign w:val="subscript"/>
              </w:rPr>
              <w:t>R</w:t>
            </w:r>
            <w:r>
              <w:rPr>
                <w:rStyle w:val="44"/>
                <w:sz w:val="18"/>
                <w:szCs w:val="18"/>
                <w:vertAlign w:val="superscript"/>
              </w:rPr>
              <w:t>a</w:t>
            </w:r>
            <w:r>
              <w:rPr>
                <w:rStyle w:val="44"/>
                <w:sz w:val="18"/>
                <w:szCs w:val="18"/>
              </w:rPr>
              <w:t>/</w:t>
            </w:r>
            <w:r>
              <w:rPr>
                <w:rFonts w:hint="eastAsia" w:ascii="Times New Roman" w:hAnsi="Times New Roman" w:cs="Times New Roman"/>
                <w:color w:val="000000"/>
                <w:kern w:val="0"/>
                <w:sz w:val="18"/>
                <w:szCs w:val="18"/>
              </w:rPr>
              <w:t>（</w:t>
            </w:r>
            <w:r>
              <w:rPr>
                <w:rFonts w:ascii="Times New Roman" w:hAnsi="Times New Roman" w:cs="Times New Roman"/>
                <w:color w:val="000000"/>
                <w:kern w:val="0"/>
                <w:sz w:val="18"/>
                <w:szCs w:val="18"/>
              </w:rPr>
              <w:t>mg/kg）</w:t>
            </w:r>
          </w:p>
        </w:tc>
        <w:tc>
          <w:tcPr>
            <w:tcW w:w="1360" w:type="pct"/>
            <w:tcBorders>
              <w:top w:val="nil"/>
              <w:left w:val="nil"/>
              <w:bottom w:val="single" w:color="auto" w:sz="4" w:space="0"/>
              <w:right w:val="single" w:color="auto" w:sz="4" w:space="0"/>
            </w:tcBorders>
            <w:noWrap/>
            <w:vAlign w:val="center"/>
          </w:tcPr>
          <w:p w14:paraId="584CF2AF">
            <w:pPr>
              <w:jc w:val="center"/>
              <w:rPr>
                <w:rFonts w:ascii="Times New Roman" w:hAnsi="Times New Roman" w:cs="Times New Roman"/>
                <w:sz w:val="18"/>
                <w:szCs w:val="18"/>
              </w:rPr>
            </w:pPr>
            <w:r>
              <w:rPr>
                <w:rFonts w:ascii="Times New Roman" w:hAnsi="Times New Roman" w:cs="Times New Roman"/>
                <w:sz w:val="18"/>
                <w:szCs w:val="18"/>
              </w:rPr>
              <w:t>-0.002</w:t>
            </w:r>
            <w:r>
              <w:rPr>
                <w:rFonts w:hint="eastAsia" w:ascii="Times New Roman" w:hAnsi="Times New Roman" w:cs="Times New Roman"/>
                <w:sz w:val="18"/>
                <w:szCs w:val="18"/>
              </w:rPr>
              <w:t xml:space="preserve"> </w:t>
            </w:r>
            <w:r>
              <w:rPr>
                <w:rFonts w:ascii="Times New Roman" w:hAnsi="Times New Roman" w:cs="Times New Roman"/>
                <w:sz w:val="18"/>
                <w:szCs w:val="18"/>
              </w:rPr>
              <w:t>4</w:t>
            </w:r>
          </w:p>
        </w:tc>
        <w:tc>
          <w:tcPr>
            <w:tcW w:w="1707" w:type="pct"/>
            <w:tcBorders>
              <w:top w:val="nil"/>
              <w:left w:val="nil"/>
              <w:bottom w:val="single" w:color="auto" w:sz="4" w:space="0"/>
              <w:right w:val="single" w:color="auto" w:sz="4" w:space="0"/>
            </w:tcBorders>
            <w:noWrap/>
            <w:vAlign w:val="center"/>
          </w:tcPr>
          <w:p w14:paraId="1B071A7D">
            <w:pPr>
              <w:jc w:val="center"/>
              <w:rPr>
                <w:rFonts w:ascii="Times New Roman" w:hAnsi="Times New Roman" w:cs="Times New Roman"/>
                <w:sz w:val="18"/>
                <w:szCs w:val="18"/>
              </w:rPr>
            </w:pPr>
            <w:r>
              <w:rPr>
                <w:rFonts w:ascii="Times New Roman" w:hAnsi="Times New Roman" w:cs="Times New Roman"/>
                <w:sz w:val="18"/>
                <w:szCs w:val="18"/>
              </w:rPr>
              <w:t>-0.001</w:t>
            </w:r>
            <w:r>
              <w:rPr>
                <w:rFonts w:hint="eastAsia" w:ascii="Times New Roman" w:hAnsi="Times New Roman" w:cs="Times New Roman"/>
                <w:sz w:val="18"/>
                <w:szCs w:val="18"/>
              </w:rPr>
              <w:t xml:space="preserve"> </w:t>
            </w:r>
            <w:r>
              <w:rPr>
                <w:rFonts w:ascii="Times New Roman" w:hAnsi="Times New Roman" w:cs="Times New Roman"/>
                <w:sz w:val="18"/>
                <w:szCs w:val="18"/>
              </w:rPr>
              <w:t>8</w:t>
            </w:r>
          </w:p>
        </w:tc>
      </w:tr>
      <w:tr w14:paraId="56411999">
        <w:tblPrEx>
          <w:tblCellMar>
            <w:top w:w="0" w:type="dxa"/>
            <w:left w:w="108" w:type="dxa"/>
            <w:bottom w:w="0" w:type="dxa"/>
            <w:right w:w="108" w:type="dxa"/>
          </w:tblCellMar>
        </w:tblPrEx>
        <w:trPr>
          <w:trHeight w:val="394" w:hRule="atLeast"/>
          <w:jc w:val="center"/>
        </w:trPr>
        <w:tc>
          <w:tcPr>
            <w:tcW w:w="1932" w:type="pct"/>
            <w:tcBorders>
              <w:top w:val="nil"/>
              <w:left w:val="single" w:color="auto" w:sz="4" w:space="0"/>
              <w:bottom w:val="single" w:color="auto" w:sz="4" w:space="0"/>
              <w:right w:val="single" w:color="auto" w:sz="4" w:space="0"/>
            </w:tcBorders>
            <w:noWrap/>
            <w:vAlign w:val="center"/>
          </w:tcPr>
          <w:p w14:paraId="7E3744AD">
            <w:pPr>
              <w:widowControl/>
              <w:jc w:val="center"/>
              <w:rPr>
                <w:rFonts w:ascii="Times New Roman" w:hAnsi="Times New Roman" w:cs="Times New Roman"/>
                <w:i/>
                <w:color w:val="000000"/>
                <w:kern w:val="0"/>
                <w:sz w:val="18"/>
                <w:szCs w:val="18"/>
              </w:rPr>
            </w:pPr>
            <w:r>
              <w:rPr>
                <w:rFonts w:ascii="Times New Roman" w:hAnsi="Times New Roman" w:cs="Times New Roman"/>
                <w:i/>
                <w:color w:val="000000"/>
                <w:kern w:val="0"/>
                <w:sz w:val="18"/>
                <w:szCs w:val="18"/>
              </w:rPr>
              <w:t>δ</w:t>
            </w:r>
            <w:r>
              <w:rPr>
                <w:rStyle w:val="42"/>
                <w:rFonts w:hint="default" w:ascii="Times New Roman" w:hAnsi="Times New Roman" w:cs="Times New Roman"/>
                <w:iCs/>
                <w:sz w:val="18"/>
                <w:szCs w:val="18"/>
              </w:rPr>
              <w:t>＋</w:t>
            </w:r>
            <w:r>
              <w:rPr>
                <w:rStyle w:val="40"/>
                <w:i/>
                <w:iCs/>
                <w:sz w:val="18"/>
                <w:szCs w:val="18"/>
              </w:rPr>
              <w:t>A</w:t>
            </w:r>
            <w:r>
              <w:rPr>
                <w:rStyle w:val="40"/>
                <w:rFonts w:hint="eastAsia"/>
                <w:i/>
                <w:iCs/>
                <w:sz w:val="18"/>
                <w:szCs w:val="18"/>
              </w:rPr>
              <w:t>s</w:t>
            </w:r>
            <w:r>
              <w:rPr>
                <w:rStyle w:val="43"/>
                <w:i/>
                <w:iCs/>
                <w:sz w:val="18"/>
                <w:szCs w:val="18"/>
                <w:vertAlign w:val="subscript"/>
              </w:rPr>
              <w:t>R</w:t>
            </w:r>
            <w:r>
              <w:rPr>
                <w:rStyle w:val="44"/>
                <w:sz w:val="18"/>
                <w:szCs w:val="18"/>
                <w:vertAlign w:val="superscript"/>
              </w:rPr>
              <w:t>a</w:t>
            </w:r>
            <w:r>
              <w:rPr>
                <w:rStyle w:val="44"/>
                <w:sz w:val="18"/>
                <w:szCs w:val="18"/>
              </w:rPr>
              <w:t>/</w:t>
            </w:r>
            <w:r>
              <w:rPr>
                <w:rFonts w:hint="eastAsia" w:ascii="Times New Roman" w:hAnsi="Times New Roman" w:cs="Times New Roman"/>
                <w:color w:val="000000"/>
                <w:kern w:val="0"/>
                <w:sz w:val="18"/>
                <w:szCs w:val="18"/>
              </w:rPr>
              <w:t>（</w:t>
            </w:r>
            <w:r>
              <w:rPr>
                <w:rFonts w:ascii="Times New Roman" w:hAnsi="Times New Roman" w:cs="Times New Roman"/>
                <w:color w:val="000000"/>
                <w:kern w:val="0"/>
                <w:sz w:val="18"/>
                <w:szCs w:val="18"/>
              </w:rPr>
              <w:t>mg/kg）</w:t>
            </w:r>
          </w:p>
        </w:tc>
        <w:tc>
          <w:tcPr>
            <w:tcW w:w="1360" w:type="pct"/>
            <w:tcBorders>
              <w:top w:val="nil"/>
              <w:left w:val="nil"/>
              <w:bottom w:val="single" w:color="auto" w:sz="4" w:space="0"/>
              <w:right w:val="single" w:color="auto" w:sz="4" w:space="0"/>
            </w:tcBorders>
            <w:noWrap/>
            <w:vAlign w:val="center"/>
          </w:tcPr>
          <w:p w14:paraId="29528D6C">
            <w:pPr>
              <w:jc w:val="center"/>
              <w:rPr>
                <w:rFonts w:ascii="Times New Roman" w:hAnsi="Times New Roman" w:cs="Times New Roman"/>
                <w:sz w:val="18"/>
                <w:szCs w:val="18"/>
              </w:rPr>
            </w:pPr>
            <w:r>
              <w:rPr>
                <w:rFonts w:ascii="Times New Roman" w:hAnsi="Times New Roman" w:cs="Times New Roman"/>
                <w:sz w:val="18"/>
                <w:szCs w:val="18"/>
              </w:rPr>
              <w:t>0.001</w:t>
            </w:r>
            <w:r>
              <w:rPr>
                <w:rFonts w:hint="eastAsia" w:ascii="Times New Roman" w:hAnsi="Times New Roman" w:cs="Times New Roman"/>
                <w:sz w:val="18"/>
                <w:szCs w:val="18"/>
              </w:rPr>
              <w:t xml:space="preserve"> </w:t>
            </w:r>
            <w:r>
              <w:rPr>
                <w:rFonts w:ascii="Times New Roman" w:hAnsi="Times New Roman" w:cs="Times New Roman"/>
                <w:sz w:val="18"/>
                <w:szCs w:val="18"/>
              </w:rPr>
              <w:t xml:space="preserve">2 </w:t>
            </w:r>
          </w:p>
        </w:tc>
        <w:tc>
          <w:tcPr>
            <w:tcW w:w="1707" w:type="pct"/>
            <w:tcBorders>
              <w:top w:val="nil"/>
              <w:left w:val="nil"/>
              <w:bottom w:val="single" w:color="auto" w:sz="4" w:space="0"/>
              <w:right w:val="single" w:color="auto" w:sz="4" w:space="0"/>
            </w:tcBorders>
            <w:noWrap/>
            <w:vAlign w:val="center"/>
          </w:tcPr>
          <w:p w14:paraId="5F08235A">
            <w:pPr>
              <w:jc w:val="center"/>
              <w:rPr>
                <w:rFonts w:ascii="Times New Roman" w:hAnsi="Times New Roman" w:cs="Times New Roman"/>
                <w:sz w:val="18"/>
                <w:szCs w:val="18"/>
              </w:rPr>
            </w:pPr>
            <w:r>
              <w:rPr>
                <w:rFonts w:ascii="Times New Roman" w:hAnsi="Times New Roman" w:cs="Times New Roman"/>
                <w:sz w:val="18"/>
                <w:szCs w:val="18"/>
              </w:rPr>
              <w:t>-0.000</w:t>
            </w:r>
            <w:r>
              <w:rPr>
                <w:rFonts w:hint="eastAsia" w:ascii="Times New Roman" w:hAnsi="Times New Roman" w:cs="Times New Roman"/>
                <w:sz w:val="18"/>
                <w:szCs w:val="18"/>
              </w:rPr>
              <w:t xml:space="preserve"> </w:t>
            </w:r>
            <w:r>
              <w:rPr>
                <w:rFonts w:ascii="Times New Roman" w:hAnsi="Times New Roman" w:cs="Times New Roman"/>
                <w:sz w:val="18"/>
                <w:szCs w:val="18"/>
              </w:rPr>
              <w:t>1</w:t>
            </w:r>
          </w:p>
        </w:tc>
      </w:tr>
      <w:tr w14:paraId="3665EAD7">
        <w:tblPrEx>
          <w:tblCellMar>
            <w:top w:w="0" w:type="dxa"/>
            <w:left w:w="108" w:type="dxa"/>
            <w:bottom w:w="0" w:type="dxa"/>
            <w:right w:w="108" w:type="dxa"/>
          </w:tblCellMar>
        </w:tblPrEx>
        <w:trPr>
          <w:trHeight w:val="394" w:hRule="atLeast"/>
          <w:jc w:val="center"/>
        </w:trPr>
        <w:tc>
          <w:tcPr>
            <w:tcW w:w="5000" w:type="pct"/>
            <w:gridSpan w:val="3"/>
            <w:tcBorders>
              <w:top w:val="single" w:color="auto" w:sz="4" w:space="0"/>
              <w:left w:val="single" w:color="auto" w:sz="4" w:space="0"/>
              <w:bottom w:val="single" w:color="auto" w:sz="4" w:space="0"/>
              <w:right w:val="single" w:color="auto" w:sz="4" w:space="0"/>
            </w:tcBorders>
            <w:noWrap/>
            <w:vAlign w:val="center"/>
          </w:tcPr>
          <w:p w14:paraId="1A7FDD9F">
            <w:pPr>
              <w:widowControl/>
              <w:jc w:val="left"/>
              <w:textAlignment w:val="center"/>
              <w:rPr>
                <w:rFonts w:ascii="Times New Roman" w:hAnsi="Times New Roman" w:cs="Times New Roman"/>
                <w:sz w:val="18"/>
                <w:szCs w:val="18"/>
              </w:rPr>
            </w:pPr>
            <w:r>
              <w:rPr>
                <w:rStyle w:val="44"/>
                <w:sz w:val="18"/>
                <w:szCs w:val="18"/>
                <w:vertAlign w:val="superscript"/>
              </w:rPr>
              <w:t>a</w:t>
            </w:r>
            <w:r>
              <w:rPr>
                <w:rStyle w:val="41"/>
                <w:rFonts w:hint="default" w:ascii="Times New Roman" w:hAnsi="Times New Roman" w:cs="Times New Roman"/>
                <w:sz w:val="18"/>
                <w:szCs w:val="18"/>
              </w:rPr>
              <w:t xml:space="preserve"> </w:t>
            </w:r>
            <w:r>
              <w:rPr>
                <w:rStyle w:val="40"/>
                <w:i/>
                <w:iCs/>
                <w:sz w:val="18"/>
                <w:szCs w:val="18"/>
              </w:rPr>
              <w:t>A</w:t>
            </w:r>
            <w:r>
              <w:rPr>
                <w:rStyle w:val="40"/>
                <w:rFonts w:hint="eastAsia"/>
                <w:i/>
                <w:iCs/>
                <w:sz w:val="18"/>
                <w:szCs w:val="18"/>
              </w:rPr>
              <w:t>s</w:t>
            </w:r>
            <w:r>
              <w:rPr>
                <w:rStyle w:val="40"/>
                <w:i/>
                <w:iCs/>
                <w:sz w:val="18"/>
                <w:szCs w:val="18"/>
                <w:vertAlign w:val="subscript"/>
              </w:rPr>
              <w:t>R</w:t>
            </w:r>
            <w:r>
              <w:rPr>
                <w:rStyle w:val="42"/>
                <w:rFonts w:hint="default" w:ascii="Times New Roman" w:hAnsi="Times New Roman" w:cs="Times New Roman"/>
                <w:iCs/>
                <w:sz w:val="18"/>
                <w:szCs w:val="18"/>
              </w:rPr>
              <w:t>为测量方法偏倚的95%</w:t>
            </w:r>
            <w:r>
              <w:rPr>
                <w:rStyle w:val="45"/>
                <w:rFonts w:hint="default" w:ascii="Times New Roman" w:hAnsi="Times New Roman" w:cs="Times New Roman"/>
                <w:iCs/>
              </w:rPr>
              <w:t>置信区间。</w:t>
            </w:r>
          </w:p>
        </w:tc>
      </w:tr>
    </w:tbl>
    <w:p w14:paraId="7EEEF7EB">
      <w:pPr>
        <w:pStyle w:val="30"/>
        <w:spacing w:before="156" w:after="156"/>
        <w:ind w:firstLine="420" w:firstLineChars="200"/>
        <w:rPr>
          <w:rFonts w:ascii="Times New Roman" w:eastAsia="宋体"/>
        </w:rPr>
      </w:pPr>
    </w:p>
    <w:p w14:paraId="30A9ECF4">
      <w:pPr>
        <w:pStyle w:val="35"/>
        <w:numPr>
          <w:ilvl w:val="0"/>
          <w:numId w:val="0"/>
        </w:numPr>
      </w:pPr>
    </w:p>
    <w:p w14:paraId="01F42CC7">
      <w:pPr>
        <w:pStyle w:val="28"/>
        <w:numPr>
          <w:ilvl w:val="0"/>
          <w:numId w:val="3"/>
        </w:numPr>
        <w:tabs>
          <w:tab w:val="clear" w:pos="0"/>
        </w:tabs>
        <w:ind w:left="811" w:hanging="448"/>
      </w:pPr>
    </w:p>
    <w:p w14:paraId="0F66837F">
      <w:pPr>
        <w:pStyle w:val="37"/>
        <w:framePr w:wrap="around"/>
      </w:pPr>
      <w:r>
        <w:t>_________________________________</w:t>
      </w:r>
    </w:p>
    <w:p w14:paraId="6ACF5144"/>
    <w:sectPr>
      <w:headerReference r:id="rId5" w:type="default"/>
      <w:footerReference r:id="rId6" w:type="default"/>
      <w:pgSz w:w="11906" w:h="16838"/>
      <w:pgMar w:top="567" w:right="1134" w:bottom="1134" w:left="1418" w:header="1418" w:footer="1134" w:gutter="0"/>
      <w:pgNumType w:start="5"/>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0000012" w:usb3="00000000" w:csb0="4002009F" w:csb1="DFD70000"/>
  </w:font>
  <w:font w:name="方正姚体_GBK">
    <w:altName w:val="Times New Roman"/>
    <w:panose1 w:val="00000000000000000000"/>
    <w:charset w:val="00"/>
    <w:family w:val="auto"/>
    <w:pitch w:val="default"/>
    <w:sig w:usb0="00000000" w:usb1="00000000" w:usb2="00000000" w:usb3="00000000" w:csb0="00040001" w:csb1="00000000"/>
  </w:font>
  <w:font w:name="Cambria Math">
    <w:panose1 w:val="02040503050406030204"/>
    <w:charset w:val="00"/>
    <w:family w:val="roman"/>
    <w:pitch w:val="default"/>
    <w:sig w:usb0="E00006FF" w:usb1="420024FF" w:usb2="02000000" w:usb3="00000000" w:csb0="2000019F" w:csb1="00000000"/>
  </w:font>
  <w:font w:name="仿宋_GB2312">
    <w:altName w:val="仿宋"/>
    <w:panose1 w:val="00000000000000000000"/>
    <w:charset w:val="00"/>
    <w:family w:val="auto"/>
    <w:pitch w:val="default"/>
    <w:sig w:usb0="00000000" w:usb1="00000000" w:usb2="00000000"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FD336A">
    <w:pPr>
      <w:pStyle w:val="12"/>
    </w:pPr>
    <w:r>
      <w:fldChar w:fldCharType="begin"/>
    </w:r>
    <w:r>
      <w:instrText xml:space="preserve"> PAGE  \* MERGEFORMAT </w:instrText>
    </w:r>
    <w:r>
      <w:fldChar w:fldCharType="separate"/>
    </w:r>
    <w:r>
      <w:t>4</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1CF11D">
    <w:pPr>
      <w:pStyle w:val="12"/>
    </w:pPr>
    <w:r>
      <w:fldChar w:fldCharType="begin"/>
    </w:r>
    <w:r>
      <w:instrText xml:space="preserve"> PAGE  \* MERGEFORMAT </w:instrText>
    </w:r>
    <w:r>
      <w:fldChar w:fldCharType="separate"/>
    </w:r>
    <w:r>
      <w:t>5</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0843B2">
    <w:pPr>
      <w:pStyle w:val="13"/>
    </w:pPr>
    <w:r>
      <w:t>DB32/ 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EDB568">
    <w:pPr>
      <w:pStyle w:val="13"/>
    </w:pPr>
    <w:r>
      <w:t>DB32/ XXXXX—XXXX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B9150E"/>
    <w:multiLevelType w:val="multilevel"/>
    <w:tmpl w:val="3DB9150E"/>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suff w:val="nothing"/>
      <w:lvlText w:val="%1.%2　"/>
      <w:lvlJc w:val="left"/>
      <w:pPr>
        <w:ind w:left="567" w:firstLine="0"/>
      </w:pPr>
      <w:rPr>
        <w:rFonts w:hint="eastAsia" w:ascii="黑体" w:hAnsi="Times New Roman" w:eastAsia="黑体" w:cs="Times New Roman"/>
        <w:b w:val="0"/>
        <w:bCs w:val="0"/>
        <w:i w:val="0"/>
        <w:iCs w:val="0"/>
        <w:caps w:val="0"/>
        <w:spacing w:val="0"/>
        <w:sz w:val="21"/>
        <w:szCs w:val="21"/>
      </w:rPr>
    </w:lvl>
    <w:lvl w:ilvl="2" w:tentative="0">
      <w:start w:val="1"/>
      <w:numFmt w:val="decimal"/>
      <w:suff w:val="nothing"/>
      <w:lvlText w:val="%1.%2.%3　"/>
      <w:lvlJc w:val="left"/>
      <w:pPr>
        <w:ind w:left="0" w:firstLine="0"/>
      </w:pPr>
      <w:rPr>
        <w:rFonts w:hint="eastAsia" w:ascii="黑体" w:hAnsi="Times New Roman" w:eastAsia="黑体"/>
        <w:b w:val="0"/>
        <w:i w:val="0"/>
        <w:sz w:val="21"/>
        <w:szCs w:val="21"/>
      </w:rPr>
    </w:lvl>
    <w:lvl w:ilvl="3" w:tentative="0">
      <w:start w:val="1"/>
      <w:numFmt w:val="decimal"/>
      <w:suff w:val="nothing"/>
      <w:lvlText w:val="%1.%2.%3.%4　"/>
      <w:lvlJc w:val="left"/>
      <w:pPr>
        <w:ind w:left="0" w:firstLine="0"/>
      </w:pPr>
      <w:rPr>
        <w:rFonts w:hint="eastAsia" w:ascii="黑体" w:hAnsi="Times New Roman" w:eastAsia="黑体"/>
        <w:b w:val="0"/>
        <w:i w:val="0"/>
        <w:sz w:val="21"/>
        <w:szCs w:val="21"/>
      </w:rPr>
    </w:lvl>
    <w:lvl w:ilvl="4" w:tentative="0">
      <w:start w:val="1"/>
      <w:numFmt w:val="decimal"/>
      <w:suff w:val="nothing"/>
      <w:lvlText w:val="%1.%2.%3.%4.%5　"/>
      <w:lvlJc w:val="left"/>
      <w:pPr>
        <w:ind w:left="0" w:firstLine="0"/>
      </w:pPr>
      <w:rPr>
        <w:rFonts w:hint="eastAsia" w:ascii="黑体" w:hAnsi="Times New Roman" w:eastAsia="黑体"/>
        <w:b w:val="0"/>
        <w:i w:val="0"/>
        <w:sz w:val="21"/>
        <w:szCs w:val="21"/>
      </w:rPr>
    </w:lvl>
    <w:lvl w:ilvl="5" w:tentative="0">
      <w:start w:val="1"/>
      <w:numFmt w:val="decimal"/>
      <w:suff w:val="nothing"/>
      <w:lvlText w:val="%1.%2.%3.%4.%5.%6　"/>
      <w:lvlJc w:val="left"/>
      <w:pPr>
        <w:ind w:left="0" w:firstLine="0"/>
      </w:pPr>
      <w:rPr>
        <w:rFonts w:hint="eastAsia" w:ascii="黑体" w:hAnsi="Times New Roman" w:eastAsia="黑体"/>
        <w:b w:val="0"/>
        <w:i w:val="0"/>
        <w:sz w:val="21"/>
        <w:szCs w:val="21"/>
      </w:rPr>
    </w:lvl>
    <w:lvl w:ilvl="6" w:tentative="0">
      <w:start w:val="1"/>
      <w:numFmt w:val="decimal"/>
      <w:suff w:val="nothing"/>
      <w:lvlText w:val="%1%2.%3.%4.%5.%6.%7　"/>
      <w:lvlJc w:val="left"/>
      <w:pPr>
        <w:ind w:left="0" w:firstLine="0"/>
      </w:pPr>
      <w:rPr>
        <w:rFonts w:hint="eastAsia" w:ascii="黑体" w:hAnsi="Times New Roman" w:eastAsia="黑体"/>
        <w:b w:val="0"/>
        <w:i w:val="0"/>
        <w:sz w:val="21"/>
        <w:szCs w:val="21"/>
      </w:rPr>
    </w:lvl>
    <w:lvl w:ilvl="7" w:tentative="0">
      <w:start w:val="1"/>
      <w:numFmt w:val="decimal"/>
      <w:lvlText w:val="%1.%2.%3.%4.%5.%6.%7.%8"/>
      <w:lvlJc w:val="left"/>
      <w:pPr>
        <w:tabs>
          <w:tab w:val="left" w:pos="4351"/>
        </w:tabs>
        <w:ind w:left="3969" w:hanging="1418"/>
      </w:pPr>
      <w:rPr>
        <w:rFonts w:hint="eastAsia" w:ascii="宋体" w:hAnsi="宋体" w:eastAsia="宋体"/>
      </w:rPr>
    </w:lvl>
    <w:lvl w:ilvl="8" w:tentative="0">
      <w:start w:val="1"/>
      <w:numFmt w:val="decimal"/>
      <w:lvlText w:val="%1.%2.%3.%4.%5.%6.%7.%8.%9"/>
      <w:lvlJc w:val="left"/>
      <w:pPr>
        <w:tabs>
          <w:tab w:val="left" w:pos="4777"/>
        </w:tabs>
        <w:ind w:left="4677" w:hanging="1700"/>
      </w:pPr>
      <w:rPr>
        <w:rFonts w:hint="eastAsia" w:ascii="宋体" w:hAnsi="宋体" w:eastAsia="宋体"/>
      </w:rPr>
    </w:lvl>
  </w:abstractNum>
  <w:abstractNum w:abstractNumId="1">
    <w:nsid w:val="60B55DC2"/>
    <w:multiLevelType w:val="multilevel"/>
    <w:tmpl w:val="60B55DC2"/>
    <w:lvl w:ilvl="0" w:tentative="0">
      <w:start w:val="1"/>
      <w:numFmt w:val="upperLetter"/>
      <w:lvlText w:val="%1"/>
      <w:lvlJc w:val="left"/>
      <w:pPr>
        <w:tabs>
          <w:tab w:val="left" w:pos="0"/>
        </w:tabs>
        <w:ind w:left="0" w:hanging="425"/>
      </w:pPr>
      <w:rPr>
        <w:rFonts w:hint="eastAsia"/>
      </w:rPr>
    </w:lvl>
    <w:lvl w:ilvl="1" w:tentative="0">
      <w:start w:val="1"/>
      <w:numFmt w:val="decimal"/>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2">
    <w:nsid w:val="657D3FBC"/>
    <w:multiLevelType w:val="multilevel"/>
    <w:tmpl w:val="657D3FBC"/>
    <w:lvl w:ilvl="0" w:tentative="0">
      <w:start w:val="1"/>
      <w:numFmt w:val="upperLetter"/>
      <w:pStyle w:val="14"/>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11"/>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5"/>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VmNDNkOWUxODQ5YzRjYzI2Mjk0ZTQ4NGE4MDc3ZDUifQ=="/>
  </w:docVars>
  <w:rsids>
    <w:rsidRoot w:val="00E1599A"/>
    <w:rsid w:val="00034A48"/>
    <w:rsid w:val="000469C5"/>
    <w:rsid w:val="000A10FC"/>
    <w:rsid w:val="00112EC0"/>
    <w:rsid w:val="0018374A"/>
    <w:rsid w:val="001C5805"/>
    <w:rsid w:val="001E38BA"/>
    <w:rsid w:val="00241FC0"/>
    <w:rsid w:val="002611B0"/>
    <w:rsid w:val="002C0144"/>
    <w:rsid w:val="00340E25"/>
    <w:rsid w:val="00405E71"/>
    <w:rsid w:val="00475275"/>
    <w:rsid w:val="005E1AA8"/>
    <w:rsid w:val="00716B14"/>
    <w:rsid w:val="00750724"/>
    <w:rsid w:val="00773597"/>
    <w:rsid w:val="007C19D7"/>
    <w:rsid w:val="008240D9"/>
    <w:rsid w:val="00861426"/>
    <w:rsid w:val="008E256B"/>
    <w:rsid w:val="009D589C"/>
    <w:rsid w:val="00BE4CD8"/>
    <w:rsid w:val="00D74F99"/>
    <w:rsid w:val="00E06D76"/>
    <w:rsid w:val="00E1599A"/>
    <w:rsid w:val="00E271E9"/>
    <w:rsid w:val="00E32982"/>
    <w:rsid w:val="00E62083"/>
    <w:rsid w:val="00EC6FCB"/>
    <w:rsid w:val="00EE5C53"/>
    <w:rsid w:val="014552E3"/>
    <w:rsid w:val="022A2019"/>
    <w:rsid w:val="02D140F4"/>
    <w:rsid w:val="03543F97"/>
    <w:rsid w:val="03AB3746"/>
    <w:rsid w:val="04483820"/>
    <w:rsid w:val="07F471B4"/>
    <w:rsid w:val="0C0B4E09"/>
    <w:rsid w:val="0E244655"/>
    <w:rsid w:val="0E80374E"/>
    <w:rsid w:val="0EF97F2F"/>
    <w:rsid w:val="0F2E21CD"/>
    <w:rsid w:val="104355C3"/>
    <w:rsid w:val="12694AAA"/>
    <w:rsid w:val="144B713C"/>
    <w:rsid w:val="17A579FF"/>
    <w:rsid w:val="17E83501"/>
    <w:rsid w:val="18BA4C53"/>
    <w:rsid w:val="195C5729"/>
    <w:rsid w:val="1FE62AF7"/>
    <w:rsid w:val="216C0902"/>
    <w:rsid w:val="23F6609A"/>
    <w:rsid w:val="24A6634F"/>
    <w:rsid w:val="2C6237C0"/>
    <w:rsid w:val="2C80561B"/>
    <w:rsid w:val="2EDE4E3E"/>
    <w:rsid w:val="2FAE48ED"/>
    <w:rsid w:val="314C4E86"/>
    <w:rsid w:val="32770553"/>
    <w:rsid w:val="32D93923"/>
    <w:rsid w:val="33553529"/>
    <w:rsid w:val="36A40ED5"/>
    <w:rsid w:val="36F43608"/>
    <w:rsid w:val="3A3D11D8"/>
    <w:rsid w:val="3A936D4F"/>
    <w:rsid w:val="3BF45111"/>
    <w:rsid w:val="3EE81BF2"/>
    <w:rsid w:val="3FED2D5C"/>
    <w:rsid w:val="402B721E"/>
    <w:rsid w:val="40755130"/>
    <w:rsid w:val="41350841"/>
    <w:rsid w:val="43A42422"/>
    <w:rsid w:val="44D04970"/>
    <w:rsid w:val="457E261E"/>
    <w:rsid w:val="48541F38"/>
    <w:rsid w:val="49597D63"/>
    <w:rsid w:val="4A0E2165"/>
    <w:rsid w:val="4C2E7D73"/>
    <w:rsid w:val="4DDD47A2"/>
    <w:rsid w:val="4E2456DF"/>
    <w:rsid w:val="51A0391C"/>
    <w:rsid w:val="54516C26"/>
    <w:rsid w:val="555275E3"/>
    <w:rsid w:val="56320122"/>
    <w:rsid w:val="577852A4"/>
    <w:rsid w:val="577B16E6"/>
    <w:rsid w:val="581330D9"/>
    <w:rsid w:val="58CD3D45"/>
    <w:rsid w:val="5D2B37A6"/>
    <w:rsid w:val="5DC76FDA"/>
    <w:rsid w:val="5F887535"/>
    <w:rsid w:val="5FAD3DD8"/>
    <w:rsid w:val="6868480C"/>
    <w:rsid w:val="7229553B"/>
    <w:rsid w:val="73D41B05"/>
    <w:rsid w:val="751B627B"/>
    <w:rsid w:val="76516E0F"/>
    <w:rsid w:val="766E5797"/>
    <w:rsid w:val="78996F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alloon Text"/>
    <w:basedOn w:val="1"/>
    <w:link w:val="46"/>
    <w:semiHidden/>
    <w:unhideWhenUsed/>
    <w:qFormat/>
    <w:uiPriority w:val="99"/>
    <w:rPr>
      <w:sz w:val="18"/>
      <w:szCs w:val="18"/>
    </w:rPr>
  </w:style>
  <w:style w:type="paragraph" w:styleId="3">
    <w:name w:val="footer"/>
    <w:basedOn w:val="1"/>
    <w:link w:val="48"/>
    <w:unhideWhenUsed/>
    <w:qFormat/>
    <w:uiPriority w:val="99"/>
    <w:pPr>
      <w:tabs>
        <w:tab w:val="center" w:pos="4153"/>
        <w:tab w:val="right" w:pos="8306"/>
      </w:tabs>
      <w:snapToGrid w:val="0"/>
      <w:jc w:val="left"/>
    </w:pPr>
    <w:rPr>
      <w:sz w:val="18"/>
      <w:szCs w:val="18"/>
    </w:rPr>
  </w:style>
  <w:style w:type="paragraph" w:styleId="4">
    <w:name w:val="header"/>
    <w:basedOn w:val="1"/>
    <w:link w:val="47"/>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toc 1"/>
    <w:basedOn w:val="1"/>
    <w:next w:val="1"/>
    <w:qFormat/>
    <w:uiPriority w:val="39"/>
    <w:pPr>
      <w:tabs>
        <w:tab w:val="right" w:leader="dot" w:pos="9241"/>
      </w:tabs>
      <w:spacing w:before="25" w:beforeLines="25" w:after="25" w:afterLines="25"/>
      <w:jc w:val="left"/>
    </w:pPr>
    <w:rPr>
      <w:rFonts w:ascii="宋体" w:hAnsi="Times New Roman" w:eastAsia="宋体" w:cs="Times New Roman"/>
      <w:szCs w:val="21"/>
    </w:rPr>
  </w:style>
  <w:style w:type="character" w:styleId="8">
    <w:name w:val="Hyperlink"/>
    <w:qFormat/>
    <w:uiPriority w:val="99"/>
    <w:rPr>
      <w:color w:val="0000FF"/>
      <w:spacing w:val="0"/>
      <w:w w:val="100"/>
      <w:szCs w:val="21"/>
      <w:u w:val="single"/>
      <w:lang w:val="en-US" w:eastAsia="zh-CN"/>
    </w:rPr>
  </w:style>
  <w:style w:type="paragraph" w:customStyle="1" w:styleId="9">
    <w:name w:val="段"/>
    <w:link w:val="10"/>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10">
    <w:name w:val="段 Char"/>
    <w:link w:val="9"/>
    <w:qFormat/>
    <w:uiPriority w:val="0"/>
    <w:rPr>
      <w:rFonts w:ascii="宋体" w:hAnsi="Times New Roman" w:eastAsia="宋体" w:cs="Times New Roman"/>
      <w:kern w:val="0"/>
      <w:szCs w:val="20"/>
    </w:rPr>
  </w:style>
  <w:style w:type="paragraph" w:customStyle="1" w:styleId="11">
    <w:name w:val="一级条标题"/>
    <w:next w:val="9"/>
    <w:qFormat/>
    <w:uiPriority w:val="0"/>
    <w:pPr>
      <w:numPr>
        <w:ilvl w:val="1"/>
        <w:numId w:val="1"/>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12">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13">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14">
    <w:name w:val="章标题"/>
    <w:next w:val="9"/>
    <w:qFormat/>
    <w:uiPriority w:val="0"/>
    <w:pPr>
      <w:numPr>
        <w:ilvl w:val="0"/>
        <w:numId w:val="1"/>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15">
    <w:name w:val="二级条标题"/>
    <w:basedOn w:val="11"/>
    <w:next w:val="9"/>
    <w:qFormat/>
    <w:uiPriority w:val="0"/>
    <w:pPr>
      <w:numPr>
        <w:ilvl w:val="2"/>
      </w:numPr>
      <w:spacing w:before="50" w:after="50"/>
      <w:outlineLvl w:val="3"/>
    </w:pPr>
  </w:style>
  <w:style w:type="paragraph" w:customStyle="1" w:styleId="16">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17">
    <w:name w:val="目次、标准名称标题"/>
    <w:basedOn w:val="1"/>
    <w:next w:val="9"/>
    <w:qFormat/>
    <w:uiPriority w:val="0"/>
    <w:pPr>
      <w:keepNext/>
      <w:pageBreakBefore/>
      <w:widowControl/>
      <w:shd w:val="clear" w:color="FFFFFF" w:fill="FFFFFF"/>
      <w:spacing w:before="640" w:after="560" w:line="460" w:lineRule="exact"/>
      <w:jc w:val="center"/>
      <w:outlineLvl w:val="0"/>
    </w:pPr>
    <w:rPr>
      <w:rFonts w:ascii="黑体" w:hAnsi="Times New Roman" w:eastAsia="黑体" w:cs="Times New Roman"/>
      <w:kern w:val="0"/>
      <w:sz w:val="32"/>
      <w:szCs w:val="20"/>
    </w:rPr>
  </w:style>
  <w:style w:type="character" w:customStyle="1" w:styleId="18">
    <w:name w:val="发布"/>
    <w:qFormat/>
    <w:uiPriority w:val="0"/>
    <w:rPr>
      <w:rFonts w:ascii="黑体" w:eastAsia="黑体"/>
      <w:spacing w:val="85"/>
      <w:w w:val="100"/>
      <w:position w:val="3"/>
      <w:sz w:val="28"/>
      <w:szCs w:val="28"/>
    </w:rPr>
  </w:style>
  <w:style w:type="paragraph" w:customStyle="1" w:styleId="19">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20">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21">
    <w:name w:val="封面标准英文名称"/>
    <w:basedOn w:val="20"/>
    <w:qFormat/>
    <w:uiPriority w:val="0"/>
    <w:pPr>
      <w:framePr w:wrap="around"/>
      <w:spacing w:before="370" w:line="400" w:lineRule="exact"/>
    </w:pPr>
    <w:rPr>
      <w:rFonts w:ascii="Times New Roman"/>
      <w:sz w:val="28"/>
      <w:szCs w:val="28"/>
    </w:rPr>
  </w:style>
  <w:style w:type="paragraph" w:customStyle="1" w:styleId="22">
    <w:name w:val="封面一致性程度标识"/>
    <w:basedOn w:val="21"/>
    <w:qFormat/>
    <w:uiPriority w:val="0"/>
    <w:pPr>
      <w:framePr w:wrap="around"/>
      <w:spacing w:before="440"/>
    </w:pPr>
    <w:rPr>
      <w:rFonts w:ascii="宋体" w:eastAsia="宋体"/>
    </w:rPr>
  </w:style>
  <w:style w:type="paragraph" w:customStyle="1" w:styleId="23">
    <w:name w:val="封面标准文稿类别"/>
    <w:basedOn w:val="22"/>
    <w:qFormat/>
    <w:uiPriority w:val="0"/>
    <w:pPr>
      <w:framePr w:wrap="around"/>
      <w:spacing w:after="160" w:line="240" w:lineRule="auto"/>
    </w:pPr>
    <w:rPr>
      <w:sz w:val="24"/>
    </w:rPr>
  </w:style>
  <w:style w:type="paragraph" w:customStyle="1" w:styleId="24">
    <w:name w:val="封面标准文稿编辑信息"/>
    <w:basedOn w:val="23"/>
    <w:qFormat/>
    <w:uiPriority w:val="0"/>
    <w:pPr>
      <w:framePr w:wrap="around"/>
      <w:spacing w:before="180" w:line="180" w:lineRule="exact"/>
    </w:pPr>
    <w:rPr>
      <w:sz w:val="21"/>
    </w:rPr>
  </w:style>
  <w:style w:type="paragraph" w:customStyle="1" w:styleId="25">
    <w:name w:val="附录标识"/>
    <w:basedOn w:val="26"/>
    <w:next w:val="9"/>
    <w:qFormat/>
    <w:uiPriority w:val="0"/>
    <w:pPr>
      <w:tabs>
        <w:tab w:val="left" w:pos="360"/>
        <w:tab w:val="left" w:pos="6405"/>
      </w:tabs>
      <w:spacing w:after="280"/>
    </w:pPr>
  </w:style>
  <w:style w:type="paragraph" w:customStyle="1" w:styleId="26">
    <w:name w:val="前言、引言标题"/>
    <w:next w:val="9"/>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7">
    <w:name w:val="附录标题"/>
    <w:basedOn w:val="9"/>
    <w:next w:val="9"/>
    <w:qFormat/>
    <w:uiPriority w:val="0"/>
    <w:pPr>
      <w:ind w:firstLine="0" w:firstLineChars="0"/>
      <w:jc w:val="center"/>
    </w:pPr>
    <w:rPr>
      <w:rFonts w:ascii="黑体" w:eastAsia="黑体"/>
    </w:rPr>
  </w:style>
  <w:style w:type="paragraph" w:customStyle="1" w:styleId="28">
    <w:name w:val="附录表标号"/>
    <w:basedOn w:val="1"/>
    <w:next w:val="9"/>
    <w:qFormat/>
    <w:uiPriority w:val="0"/>
    <w:pPr>
      <w:spacing w:line="14" w:lineRule="exact"/>
      <w:ind w:left="811" w:hanging="448"/>
      <w:jc w:val="center"/>
      <w:outlineLvl w:val="0"/>
    </w:pPr>
    <w:rPr>
      <w:rFonts w:ascii="Times New Roman" w:hAnsi="Times New Roman" w:eastAsia="宋体" w:cs="Times New Roman"/>
      <w:color w:val="FFFFFF"/>
      <w:szCs w:val="24"/>
    </w:rPr>
  </w:style>
  <w:style w:type="paragraph" w:customStyle="1" w:styleId="29">
    <w:name w:val="附录章标题"/>
    <w:next w:val="9"/>
    <w:qFormat/>
    <w:uiPriority w:val="0"/>
    <w:pPr>
      <w:tabs>
        <w:tab w:val="left" w:pos="360"/>
      </w:tabs>
      <w:wordWrap w:val="0"/>
      <w:overflowPunct w:val="0"/>
      <w:autoSpaceDE w:val="0"/>
      <w:spacing w:before="100" w:beforeLines="100" w:after="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30">
    <w:name w:val="附录一级条标题"/>
    <w:basedOn w:val="29"/>
    <w:next w:val="9"/>
    <w:qFormat/>
    <w:uiPriority w:val="0"/>
    <w:pPr>
      <w:autoSpaceDN w:val="0"/>
      <w:spacing w:before="50" w:beforeLines="50" w:after="50" w:afterLines="50"/>
      <w:outlineLvl w:val="2"/>
    </w:pPr>
  </w:style>
  <w:style w:type="paragraph" w:customStyle="1" w:styleId="31">
    <w:name w:val="其他标准标志"/>
    <w:basedOn w:val="1"/>
    <w:qFormat/>
    <w:uiPriority w:val="0"/>
    <w:pPr>
      <w:framePr w:w="6101" w:h="1389" w:hRule="exact" w:hSpace="181" w:vSpace="181" w:wrap="around" w:vAnchor="page" w:hAnchor="page" w:x="4673" w:y="942" w:anchorLock="1"/>
      <w:widowControl/>
      <w:shd w:val="solid" w:color="FFFFFF" w:fill="FFFFFF"/>
      <w:spacing w:line="0" w:lineRule="atLeast"/>
      <w:jc w:val="right"/>
    </w:pPr>
    <w:rPr>
      <w:rFonts w:ascii="Times New Roman" w:hAnsi="Times New Roman" w:eastAsia="宋体" w:cs="Times New Roman"/>
      <w:b/>
      <w:w w:val="130"/>
      <w:kern w:val="0"/>
      <w:sz w:val="96"/>
      <w:szCs w:val="96"/>
    </w:rPr>
  </w:style>
  <w:style w:type="paragraph" w:customStyle="1" w:styleId="32">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33">
    <w:name w:val="其他发布部门"/>
    <w:basedOn w:val="1"/>
    <w:qFormat/>
    <w:uiPriority w:val="0"/>
    <w:pPr>
      <w:framePr w:w="7938" w:h="1134" w:hRule="exact" w:hSpace="125" w:vSpace="181" w:wrap="around" w:vAnchor="page" w:hAnchor="page" w:x="2150" w:y="15310" w:anchorLock="1"/>
      <w:widowControl/>
      <w:spacing w:line="0" w:lineRule="atLeast"/>
      <w:jc w:val="center"/>
    </w:pPr>
    <w:rPr>
      <w:rFonts w:ascii="黑体" w:hAnsi="Times New Roman" w:eastAsia="黑体" w:cs="Times New Roman"/>
      <w:spacing w:val="20"/>
      <w:w w:val="135"/>
      <w:kern w:val="0"/>
      <w:sz w:val="28"/>
      <w:szCs w:val="20"/>
    </w:rPr>
  </w:style>
  <w:style w:type="paragraph" w:customStyle="1" w:styleId="34">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35">
    <w:name w:val="一级无"/>
    <w:basedOn w:val="11"/>
    <w:qFormat/>
    <w:uiPriority w:val="0"/>
    <w:pPr>
      <w:spacing w:before="0" w:beforeLines="0" w:after="0" w:afterLines="0"/>
    </w:pPr>
    <w:rPr>
      <w:rFonts w:ascii="宋体" w:eastAsia="宋体"/>
    </w:rPr>
  </w:style>
  <w:style w:type="paragraph" w:customStyle="1" w:styleId="36">
    <w:name w:val="正文表标题"/>
    <w:next w:val="9"/>
    <w:qFormat/>
    <w:uiPriority w:val="0"/>
    <w:p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37">
    <w:name w:val="终结线"/>
    <w:basedOn w:val="1"/>
    <w:qFormat/>
    <w:uiPriority w:val="0"/>
    <w:pPr>
      <w:framePr w:hSpace="181" w:vSpace="181" w:wrap="around" w:vAnchor="text" w:hAnchor="margin" w:xAlign="center" w:y="285"/>
    </w:pPr>
    <w:rPr>
      <w:rFonts w:ascii="Times New Roman" w:hAnsi="Times New Roman" w:eastAsia="宋体" w:cs="Times New Roman"/>
      <w:szCs w:val="24"/>
    </w:rPr>
  </w:style>
  <w:style w:type="paragraph" w:customStyle="1" w:styleId="38">
    <w:name w:val="其他发布日期"/>
    <w:basedOn w:val="1"/>
    <w:qFormat/>
    <w:uiPriority w:val="0"/>
    <w:pPr>
      <w:framePr w:w="3997" w:h="471" w:hRule="exact" w:vSpace="181" w:wrap="around" w:vAnchor="page" w:hAnchor="page" w:x="1419" w:y="14097" w:anchorLock="1"/>
      <w:widowControl/>
      <w:jc w:val="left"/>
    </w:pPr>
    <w:rPr>
      <w:rFonts w:ascii="Times New Roman" w:hAnsi="Times New Roman" w:eastAsia="黑体" w:cs="Times New Roman"/>
      <w:kern w:val="0"/>
      <w:sz w:val="28"/>
      <w:szCs w:val="20"/>
    </w:rPr>
  </w:style>
  <w:style w:type="paragraph" w:customStyle="1" w:styleId="39">
    <w:name w:val="其他实施日期"/>
    <w:basedOn w:val="1"/>
    <w:qFormat/>
    <w:uiPriority w:val="0"/>
    <w:pPr>
      <w:framePr w:w="3997" w:h="471" w:hRule="exact" w:vSpace="181" w:wrap="around" w:vAnchor="page" w:hAnchor="page" w:x="7089" w:y="14097" w:anchorLock="1"/>
      <w:widowControl/>
      <w:jc w:val="right"/>
    </w:pPr>
    <w:rPr>
      <w:rFonts w:ascii="Times New Roman" w:hAnsi="Times New Roman" w:eastAsia="黑体" w:cs="Times New Roman"/>
      <w:kern w:val="0"/>
      <w:sz w:val="28"/>
      <w:szCs w:val="20"/>
    </w:rPr>
  </w:style>
  <w:style w:type="character" w:customStyle="1" w:styleId="40">
    <w:name w:val="15"/>
    <w:qFormat/>
    <w:uiPriority w:val="0"/>
    <w:rPr>
      <w:rFonts w:hint="default" w:ascii="Times New Roman" w:hAnsi="Times New Roman" w:cs="Times New Roman"/>
      <w:color w:val="000000"/>
      <w:sz w:val="21"/>
      <w:szCs w:val="21"/>
    </w:rPr>
  </w:style>
  <w:style w:type="character" w:customStyle="1" w:styleId="41">
    <w:name w:val="16"/>
    <w:qFormat/>
    <w:uiPriority w:val="0"/>
    <w:rPr>
      <w:rFonts w:hint="eastAsia" w:ascii="宋体" w:hAnsi="宋体" w:eastAsia="宋体"/>
      <w:color w:val="000000"/>
      <w:sz w:val="24"/>
      <w:szCs w:val="24"/>
    </w:rPr>
  </w:style>
  <w:style w:type="character" w:customStyle="1" w:styleId="42">
    <w:name w:val="17"/>
    <w:qFormat/>
    <w:uiPriority w:val="0"/>
    <w:rPr>
      <w:rFonts w:hint="eastAsia" w:ascii="宋体" w:hAnsi="宋体" w:eastAsia="宋体"/>
      <w:color w:val="000000"/>
      <w:sz w:val="24"/>
      <w:szCs w:val="24"/>
    </w:rPr>
  </w:style>
  <w:style w:type="character" w:customStyle="1" w:styleId="43">
    <w:name w:val="18"/>
    <w:qFormat/>
    <w:uiPriority w:val="0"/>
    <w:rPr>
      <w:rFonts w:hint="default" w:ascii="Times New Roman" w:hAnsi="Times New Roman" w:cs="Times New Roman"/>
      <w:color w:val="000000"/>
      <w:sz w:val="21"/>
      <w:szCs w:val="21"/>
    </w:rPr>
  </w:style>
  <w:style w:type="character" w:customStyle="1" w:styleId="44">
    <w:name w:val="19"/>
    <w:qFormat/>
    <w:uiPriority w:val="0"/>
    <w:rPr>
      <w:rFonts w:hint="default" w:ascii="Times New Roman" w:hAnsi="Times New Roman" w:cs="Times New Roman"/>
      <w:b/>
      <w:color w:val="000000"/>
      <w:sz w:val="21"/>
      <w:szCs w:val="21"/>
    </w:rPr>
  </w:style>
  <w:style w:type="character" w:customStyle="1" w:styleId="45">
    <w:name w:val="20"/>
    <w:qFormat/>
    <w:uiPriority w:val="0"/>
    <w:rPr>
      <w:rFonts w:hint="eastAsia" w:ascii="宋体" w:hAnsi="宋体" w:eastAsia="宋体"/>
      <w:color w:val="000000"/>
      <w:sz w:val="18"/>
      <w:szCs w:val="18"/>
    </w:rPr>
  </w:style>
  <w:style w:type="character" w:customStyle="1" w:styleId="46">
    <w:name w:val="批注框文本 字符"/>
    <w:basedOn w:val="7"/>
    <w:link w:val="2"/>
    <w:semiHidden/>
    <w:qFormat/>
    <w:uiPriority w:val="99"/>
    <w:rPr>
      <w:sz w:val="18"/>
      <w:szCs w:val="18"/>
    </w:rPr>
  </w:style>
  <w:style w:type="character" w:customStyle="1" w:styleId="47">
    <w:name w:val="页眉 字符"/>
    <w:basedOn w:val="7"/>
    <w:link w:val="4"/>
    <w:qFormat/>
    <w:uiPriority w:val="99"/>
    <w:rPr>
      <w:sz w:val="18"/>
      <w:szCs w:val="18"/>
    </w:rPr>
  </w:style>
  <w:style w:type="character" w:customStyle="1" w:styleId="48">
    <w:name w:val="页脚 字符"/>
    <w:basedOn w:val="7"/>
    <w:link w:val="3"/>
    <w:qFormat/>
    <w:uiPriority w:val="99"/>
    <w:rPr>
      <w:sz w:val="18"/>
      <w:szCs w:val="18"/>
    </w:rPr>
  </w:style>
  <w:style w:type="paragraph" w:customStyle="1" w:styleId="49">
    <w:name w:val="修订1"/>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31"/>
    <customShpInfo spid="_x0000_s1026"/>
    <customShpInfo spid="_x0000_s1030"/>
    <customShpInfo spid="_x0000_s1029"/>
    <customShpInfo spid="_x0000_s1027"/>
    <customShpInfo spid="_x0000_s1028"/>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DA4971-7017-400E-A7BB-832A4860F126}">
  <ds:schemaRefs/>
</ds:datastoreItem>
</file>

<file path=docProps/app.xml><?xml version="1.0" encoding="utf-8"?>
<Properties xmlns="http://schemas.openxmlformats.org/officeDocument/2006/extended-properties" xmlns:vt="http://schemas.openxmlformats.org/officeDocument/2006/docPropsVTypes">
  <Template>Normal</Template>
  <Company>jsgs</Company>
  <Pages>7</Pages>
  <Words>2841</Words>
  <Characters>3640</Characters>
  <Lines>52</Lines>
  <Paragraphs>14</Paragraphs>
  <TotalTime>20</TotalTime>
  <ScaleCrop>false</ScaleCrop>
  <LinksUpToDate>false</LinksUpToDate>
  <CharactersWithSpaces>3803</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2023-02-03T09:11:00Z</dcterms:created>
  <dc:creator>Microsoft 帐户</dc:creator>
  <cp:lastModifiedBy>mmme</cp:lastModifiedBy>
  <dcterms:modified xsi:type="dcterms:W3CDTF">2024-08-01T09:33:27Z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54F592328D8C4B06845CB1A2F90452F2</vt:lpwstr>
  </property>
</Properties>
</file>